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C9" w:rsidRPr="002C15C9" w:rsidRDefault="002C15C9" w:rsidP="002C15C9">
      <w:pPr>
        <w:pStyle w:val="NormalnyWeb"/>
        <w:spacing w:line="360" w:lineRule="auto"/>
        <w:ind w:left="3540" w:firstLine="708"/>
        <w:jc w:val="center"/>
        <w:rPr>
          <w:rFonts w:ascii="Bookman Old Style" w:hAnsi="Bookman Old Style" w:cs="Arial"/>
          <w:bCs/>
          <w:color w:val="000000"/>
          <w:sz w:val="22"/>
          <w:szCs w:val="22"/>
        </w:rPr>
      </w:pPr>
      <w:r w:rsidRPr="002C15C9">
        <w:rPr>
          <w:rFonts w:ascii="Bookman Old Style" w:hAnsi="Bookman Old Style" w:cs="Arial"/>
          <w:bCs/>
          <w:color w:val="000000"/>
          <w:sz w:val="22"/>
          <w:szCs w:val="22"/>
        </w:rPr>
        <w:t>Katowice, dnia 17 sierpnia 2014 r.</w:t>
      </w:r>
    </w:p>
    <w:p w:rsidR="002C15C9" w:rsidRDefault="002C15C9" w:rsidP="002C15C9">
      <w:pPr>
        <w:pStyle w:val="NormalnyWeb"/>
        <w:spacing w:line="360" w:lineRule="auto"/>
        <w:jc w:val="center"/>
        <w:rPr>
          <w:rFonts w:ascii="Bookman Old Style" w:hAnsi="Bookman Old Style" w:cs="Arial"/>
          <w:b/>
          <w:bCs/>
          <w:color w:val="000000"/>
          <w:sz w:val="22"/>
          <w:szCs w:val="22"/>
        </w:rPr>
      </w:pPr>
    </w:p>
    <w:p w:rsidR="002C15C9" w:rsidRPr="002C15C9" w:rsidRDefault="00B57224" w:rsidP="002C15C9">
      <w:pPr>
        <w:pStyle w:val="NormalnyWeb"/>
        <w:spacing w:line="360" w:lineRule="auto"/>
        <w:jc w:val="center"/>
        <w:rPr>
          <w:b/>
        </w:rPr>
      </w:pPr>
      <w:r w:rsidRPr="002C15C9">
        <w:rPr>
          <w:rFonts w:ascii="Bookman Old Style" w:hAnsi="Bookman Old Style" w:cs="Arial"/>
          <w:b/>
          <w:bCs/>
          <w:color w:val="000000"/>
          <w:sz w:val="22"/>
          <w:szCs w:val="22"/>
        </w:rPr>
        <w:t xml:space="preserve">OPINIA RADY GŁÓWNEJ ZWIĄZKU ZAWODOWEGO RPOKURATORÓW </w:t>
      </w:r>
      <w:r w:rsidR="00883283">
        <w:rPr>
          <w:rFonts w:ascii="Bookman Old Style" w:hAnsi="Bookman Old Style" w:cs="Arial"/>
          <w:b/>
          <w:bCs/>
          <w:color w:val="000000"/>
          <w:sz w:val="22"/>
          <w:szCs w:val="22"/>
        </w:rPr>
        <w:br/>
      </w:r>
      <w:r w:rsidRPr="002C15C9">
        <w:rPr>
          <w:rFonts w:ascii="Bookman Old Style" w:hAnsi="Bookman Old Style" w:cs="Arial"/>
          <w:b/>
          <w:bCs/>
          <w:color w:val="000000"/>
          <w:sz w:val="22"/>
          <w:szCs w:val="22"/>
        </w:rPr>
        <w:t xml:space="preserve">I PRACOWNIKÓW PROKURATURY RP W SPRAWIE PROJEKTU USAWY </w:t>
      </w:r>
      <w:r w:rsidR="00883283">
        <w:rPr>
          <w:rFonts w:ascii="Bookman Old Style" w:hAnsi="Bookman Old Style" w:cs="Arial"/>
          <w:b/>
          <w:bCs/>
          <w:color w:val="000000"/>
          <w:sz w:val="22"/>
          <w:szCs w:val="22"/>
        </w:rPr>
        <w:br/>
        <w:t>O OŚ</w:t>
      </w:r>
      <w:r w:rsidR="002C15C9" w:rsidRPr="002C15C9">
        <w:rPr>
          <w:rFonts w:ascii="Bookman Old Style" w:hAnsi="Bookman Old Style" w:cs="Arial"/>
          <w:b/>
          <w:bCs/>
          <w:color w:val="000000"/>
          <w:sz w:val="22"/>
          <w:szCs w:val="22"/>
        </w:rPr>
        <w:t>WIADCZENIACH O STANIE MAJĄTKOWYM OSÓB PEŁNIĄCYCH FUNKCJE PUBLICZNE</w:t>
      </w:r>
      <w:r w:rsidR="002C15C9">
        <w:rPr>
          <w:rFonts w:ascii="Bookman Old Style" w:hAnsi="Bookman Old Style" w:cs="Arial"/>
          <w:b/>
          <w:bCs/>
          <w:color w:val="000000"/>
          <w:sz w:val="22"/>
          <w:szCs w:val="22"/>
        </w:rPr>
        <w:t>.</w:t>
      </w:r>
    </w:p>
    <w:p w:rsidR="00B57224" w:rsidRDefault="00B57224" w:rsidP="001512A1">
      <w:pPr>
        <w:pStyle w:val="NormalnyWeb"/>
        <w:spacing w:line="360" w:lineRule="auto"/>
        <w:jc w:val="both"/>
        <w:rPr>
          <w:rFonts w:ascii="Bookman Old Style" w:hAnsi="Bookman Old Style" w:cs="Arial"/>
          <w:bCs/>
          <w:color w:val="000000"/>
          <w:sz w:val="22"/>
          <w:szCs w:val="22"/>
        </w:rPr>
      </w:pPr>
      <w:bookmarkStart w:id="0" w:name="_GoBack"/>
      <w:bookmarkEnd w:id="0"/>
    </w:p>
    <w:p w:rsidR="00B57224" w:rsidRPr="00220ADA" w:rsidRDefault="00B57224" w:rsidP="001512A1">
      <w:pPr>
        <w:pStyle w:val="NormalnyWeb"/>
        <w:spacing w:line="360" w:lineRule="auto"/>
        <w:jc w:val="both"/>
        <w:rPr>
          <w:rFonts w:ascii="Bookman Old Style" w:hAnsi="Bookman Old Style" w:cs="Arial"/>
          <w:b/>
          <w:bCs/>
          <w:color w:val="000000"/>
          <w:sz w:val="22"/>
          <w:szCs w:val="22"/>
        </w:rPr>
      </w:pPr>
    </w:p>
    <w:p w:rsidR="00220ADA" w:rsidRDefault="00220ADA" w:rsidP="00220ADA">
      <w:pPr>
        <w:pStyle w:val="NormalnyWeb"/>
        <w:numPr>
          <w:ilvl w:val="0"/>
          <w:numId w:val="2"/>
        </w:numPr>
        <w:spacing w:line="360" w:lineRule="auto"/>
        <w:jc w:val="both"/>
        <w:rPr>
          <w:rFonts w:ascii="Bookman Old Style" w:hAnsi="Bookman Old Style" w:cs="Arial"/>
          <w:b/>
          <w:bCs/>
          <w:color w:val="000000"/>
          <w:sz w:val="22"/>
          <w:szCs w:val="22"/>
        </w:rPr>
      </w:pPr>
      <w:r w:rsidRPr="00220ADA">
        <w:rPr>
          <w:rFonts w:ascii="Bookman Old Style" w:hAnsi="Bookman Old Style" w:cs="Arial"/>
          <w:b/>
          <w:bCs/>
          <w:color w:val="000000"/>
          <w:sz w:val="22"/>
          <w:szCs w:val="22"/>
        </w:rPr>
        <w:t xml:space="preserve">Uwagi ogólne. </w:t>
      </w:r>
    </w:p>
    <w:p w:rsidR="001245ED" w:rsidRPr="00220ADA" w:rsidRDefault="001245ED" w:rsidP="001245ED">
      <w:pPr>
        <w:pStyle w:val="NormalnyWeb"/>
        <w:spacing w:line="360" w:lineRule="auto"/>
        <w:ind w:left="1080"/>
        <w:jc w:val="both"/>
        <w:rPr>
          <w:rFonts w:ascii="Bookman Old Style" w:hAnsi="Bookman Old Style" w:cs="Arial"/>
          <w:b/>
          <w:bCs/>
          <w:color w:val="000000"/>
          <w:sz w:val="22"/>
          <w:szCs w:val="22"/>
        </w:rPr>
      </w:pPr>
    </w:p>
    <w:p w:rsidR="00AE6F27" w:rsidRDefault="0077655F" w:rsidP="001512A1">
      <w:pPr>
        <w:pStyle w:val="NormalnyWeb"/>
        <w:spacing w:line="360" w:lineRule="auto"/>
        <w:jc w:val="both"/>
        <w:rPr>
          <w:rFonts w:ascii="Bookman Old Style" w:hAnsi="Bookman Old Style" w:cs="Arial"/>
          <w:bCs/>
          <w:color w:val="000000"/>
          <w:sz w:val="22"/>
          <w:szCs w:val="22"/>
        </w:rPr>
      </w:pPr>
      <w:r w:rsidRPr="001512A1">
        <w:rPr>
          <w:rFonts w:ascii="Bookman Old Style" w:hAnsi="Bookman Old Style" w:cs="Arial"/>
          <w:bCs/>
          <w:color w:val="000000"/>
          <w:sz w:val="22"/>
          <w:szCs w:val="22"/>
        </w:rPr>
        <w:t xml:space="preserve">Rada Główna Związku Zawodowego Prokuratorów i Pracowników Prokuratury </w:t>
      </w:r>
      <w:r w:rsidR="001245ED">
        <w:rPr>
          <w:rFonts w:ascii="Bookman Old Style" w:hAnsi="Bookman Old Style" w:cs="Arial"/>
          <w:bCs/>
          <w:color w:val="000000"/>
          <w:sz w:val="22"/>
          <w:szCs w:val="22"/>
        </w:rPr>
        <w:br/>
      </w:r>
      <w:r w:rsidRPr="001512A1">
        <w:rPr>
          <w:rFonts w:ascii="Bookman Old Style" w:hAnsi="Bookman Old Style" w:cs="Arial"/>
          <w:bCs/>
          <w:color w:val="000000"/>
          <w:sz w:val="22"/>
          <w:szCs w:val="22"/>
        </w:rPr>
        <w:t xml:space="preserve">z najwyższym niepokojem przyjęła rządowy projekt wprowadzający jawność oświadczeń majątkowych prokuratorów i sędziów. W opinii Rady projekt generuje bezpośrednie niebezpieczeństwo dla przedstawicieli obu zawodów ze strony świata przestępczego. Zdumiewające jest przy tym, że na niebezpieczeństwo to swoich funkcjonariuszy, którzy na co dzień zajmują się zwalczaniem przestępczości naraża reprezentująca Państwo władza wykonawcza. </w:t>
      </w:r>
      <w:r w:rsidR="00796836" w:rsidRPr="001512A1">
        <w:rPr>
          <w:rFonts w:ascii="Bookman Old Style" w:hAnsi="Bookman Old Style" w:cs="Arial"/>
          <w:bCs/>
          <w:color w:val="000000"/>
          <w:sz w:val="22"/>
          <w:szCs w:val="22"/>
        </w:rPr>
        <w:t xml:space="preserve">Władza ta jest odpowiedzialna za tworzenie systemu bezpieczeństwa dla funkcjonariuszy w służbie aparatu ścigania </w:t>
      </w:r>
      <w:r w:rsidR="001245ED">
        <w:rPr>
          <w:rFonts w:ascii="Bookman Old Style" w:hAnsi="Bookman Old Style" w:cs="Arial"/>
          <w:bCs/>
          <w:color w:val="000000"/>
          <w:sz w:val="22"/>
          <w:szCs w:val="22"/>
        </w:rPr>
        <w:br/>
      </w:r>
      <w:r w:rsidR="00796836" w:rsidRPr="001512A1">
        <w:rPr>
          <w:rFonts w:ascii="Bookman Old Style" w:hAnsi="Bookman Old Style" w:cs="Arial"/>
          <w:bCs/>
          <w:color w:val="000000"/>
          <w:sz w:val="22"/>
          <w:szCs w:val="22"/>
        </w:rPr>
        <w:t xml:space="preserve">i wymiaru sprawiedliwości oraz budowanie autorytetu zarówno zawodu prokuratora jak i sędziego. </w:t>
      </w:r>
      <w:r w:rsidR="005D19FC">
        <w:rPr>
          <w:rFonts w:ascii="Bookman Old Style" w:hAnsi="Bookman Old Style" w:cs="Arial"/>
          <w:bCs/>
          <w:color w:val="000000"/>
          <w:sz w:val="22"/>
          <w:szCs w:val="22"/>
        </w:rPr>
        <w:t xml:space="preserve">Z całą pewnością nie służy temu </w:t>
      </w:r>
      <w:r w:rsidR="001245ED">
        <w:rPr>
          <w:rFonts w:ascii="Bookman Old Style" w:hAnsi="Bookman Old Style" w:cs="Arial"/>
          <w:bCs/>
          <w:color w:val="000000"/>
          <w:sz w:val="22"/>
          <w:szCs w:val="22"/>
        </w:rPr>
        <w:t xml:space="preserve">projektowany </w:t>
      </w:r>
      <w:r w:rsidR="005D19FC">
        <w:rPr>
          <w:rFonts w:ascii="Bookman Old Style" w:hAnsi="Bookman Old Style" w:cs="Arial"/>
          <w:bCs/>
          <w:color w:val="000000"/>
          <w:sz w:val="22"/>
          <w:szCs w:val="22"/>
        </w:rPr>
        <w:t xml:space="preserve">mechanizm permanentnego kwestionowania uczciwości osób pełniących funkcje publiczne </w:t>
      </w:r>
      <w:r w:rsidR="001245ED">
        <w:rPr>
          <w:rFonts w:ascii="Bookman Old Style" w:hAnsi="Bookman Old Style" w:cs="Arial"/>
          <w:bCs/>
          <w:color w:val="000000"/>
          <w:sz w:val="22"/>
          <w:szCs w:val="22"/>
        </w:rPr>
        <w:br/>
      </w:r>
      <w:r w:rsidR="005D19FC">
        <w:rPr>
          <w:rFonts w:ascii="Bookman Old Style" w:hAnsi="Bookman Old Style" w:cs="Arial"/>
          <w:bCs/>
          <w:color w:val="000000"/>
          <w:sz w:val="22"/>
          <w:szCs w:val="22"/>
        </w:rPr>
        <w:t>i wykonujących zawody zaufania społecznego</w:t>
      </w:r>
      <w:r w:rsidR="00220ADA">
        <w:rPr>
          <w:rFonts w:ascii="Bookman Old Style" w:hAnsi="Bookman Old Style" w:cs="Arial"/>
          <w:bCs/>
          <w:color w:val="000000"/>
          <w:sz w:val="22"/>
          <w:szCs w:val="22"/>
        </w:rPr>
        <w:t>.</w:t>
      </w:r>
    </w:p>
    <w:p w:rsidR="00220ADA" w:rsidRPr="00220ADA" w:rsidRDefault="00220ADA" w:rsidP="00220ADA">
      <w:pPr>
        <w:pStyle w:val="NormalnyWeb"/>
        <w:numPr>
          <w:ilvl w:val="0"/>
          <w:numId w:val="2"/>
        </w:numPr>
        <w:spacing w:line="360" w:lineRule="auto"/>
        <w:jc w:val="both"/>
        <w:rPr>
          <w:rFonts w:ascii="Bookman Old Style" w:hAnsi="Bookman Old Style" w:cs="Arial"/>
          <w:b/>
          <w:bCs/>
          <w:color w:val="000000"/>
          <w:sz w:val="22"/>
          <w:szCs w:val="22"/>
        </w:rPr>
      </w:pPr>
      <w:r w:rsidRPr="00220ADA">
        <w:rPr>
          <w:rFonts w:ascii="Bookman Old Style" w:hAnsi="Bookman Old Style" w:cs="Arial"/>
          <w:b/>
          <w:bCs/>
          <w:color w:val="000000"/>
          <w:sz w:val="22"/>
          <w:szCs w:val="22"/>
        </w:rPr>
        <w:t>Zagrożenia dla bezpieczeństwa prokuratorów i ich rodzin.</w:t>
      </w:r>
    </w:p>
    <w:p w:rsidR="00AE6F27" w:rsidRDefault="00AE6F27" w:rsidP="001512A1">
      <w:pPr>
        <w:pStyle w:val="NormalnyWeb"/>
        <w:spacing w:line="360" w:lineRule="auto"/>
        <w:jc w:val="both"/>
        <w:rPr>
          <w:rFonts w:ascii="Bookman Old Style" w:hAnsi="Bookman Old Style" w:cs="Arial"/>
          <w:bCs/>
          <w:color w:val="000000"/>
          <w:sz w:val="22"/>
          <w:szCs w:val="22"/>
        </w:rPr>
      </w:pPr>
      <w:r w:rsidRPr="001512A1">
        <w:rPr>
          <w:rFonts w:ascii="Bookman Old Style" w:hAnsi="Bookman Old Style"/>
          <w:sz w:val="22"/>
          <w:szCs w:val="22"/>
        </w:rPr>
        <w:t>Związek Zawodowy Prokuratorów i Pracowników Prokuratury RP stoi na stanowisku, iż oświadczenia majątkowe prokuratorów</w:t>
      </w:r>
      <w:r w:rsidR="0088407F" w:rsidRPr="001512A1">
        <w:rPr>
          <w:rFonts w:ascii="Bookman Old Style" w:hAnsi="Bookman Old Style"/>
          <w:sz w:val="22"/>
          <w:szCs w:val="22"/>
        </w:rPr>
        <w:t xml:space="preserve"> nie mogą być ujawniane jako informacje publiczne. </w:t>
      </w:r>
      <w:r w:rsidRPr="001512A1">
        <w:rPr>
          <w:rFonts w:ascii="Bookman Old Style" w:hAnsi="Bookman Old Style"/>
          <w:sz w:val="22"/>
          <w:szCs w:val="22"/>
        </w:rPr>
        <w:t>Na szczególne podkreślenie zasługuje fakt, iż u</w:t>
      </w:r>
      <w:r w:rsidR="0088407F" w:rsidRPr="001512A1">
        <w:rPr>
          <w:rFonts w:ascii="Bookman Old Style" w:hAnsi="Bookman Old Style"/>
          <w:sz w:val="22"/>
          <w:szCs w:val="22"/>
        </w:rPr>
        <w:t>jawnieniu nie podlegają oświadczenia funkcjona</w:t>
      </w:r>
      <w:r w:rsidRPr="001512A1">
        <w:rPr>
          <w:rFonts w:ascii="Bookman Old Style" w:hAnsi="Bookman Old Style"/>
          <w:sz w:val="22"/>
          <w:szCs w:val="22"/>
        </w:rPr>
        <w:t xml:space="preserve">riuszy ABW, AW, SWW, SKW i CBA, </w:t>
      </w:r>
      <w:r w:rsidR="0088407F" w:rsidRPr="001512A1">
        <w:rPr>
          <w:rFonts w:ascii="Bookman Old Style" w:hAnsi="Bookman Old Style"/>
          <w:sz w:val="22"/>
          <w:szCs w:val="22"/>
        </w:rPr>
        <w:t xml:space="preserve">policjantów, funkcjonariuszy Straży Granicznej, żandarmerii i BOR. </w:t>
      </w:r>
      <w:r w:rsidR="008E1C36" w:rsidRPr="001512A1">
        <w:rPr>
          <w:rFonts w:ascii="Bookman Old Style" w:hAnsi="Bookman Old Style"/>
          <w:sz w:val="22"/>
          <w:szCs w:val="22"/>
        </w:rPr>
        <w:t xml:space="preserve">Służby te prowadzą działania przeciwko niebezpiecznym przestępcom – tym samym, wobec których </w:t>
      </w:r>
      <w:r w:rsidR="001245ED">
        <w:rPr>
          <w:rFonts w:ascii="Bookman Old Style" w:hAnsi="Bookman Old Style"/>
          <w:sz w:val="22"/>
          <w:szCs w:val="22"/>
        </w:rPr>
        <w:br/>
      </w:r>
      <w:r w:rsidR="008E1C36" w:rsidRPr="001512A1">
        <w:rPr>
          <w:rFonts w:ascii="Bookman Old Style" w:hAnsi="Bookman Old Style"/>
          <w:sz w:val="22"/>
          <w:szCs w:val="22"/>
        </w:rPr>
        <w:lastRenderedPageBreak/>
        <w:t>w dalszej kolej</w:t>
      </w:r>
      <w:r w:rsidR="00851B95" w:rsidRPr="001512A1">
        <w:rPr>
          <w:rFonts w:ascii="Bookman Old Style" w:hAnsi="Bookman Old Style"/>
          <w:sz w:val="22"/>
          <w:szCs w:val="22"/>
        </w:rPr>
        <w:t>ności, prokuratorzy kierują akty</w:t>
      </w:r>
      <w:r w:rsidR="008E1C36" w:rsidRPr="001512A1">
        <w:rPr>
          <w:rFonts w:ascii="Bookman Old Style" w:hAnsi="Bookman Old Style"/>
          <w:sz w:val="22"/>
          <w:szCs w:val="22"/>
        </w:rPr>
        <w:t xml:space="preserve"> oskarżenia, a sędziowie wydają wyroki. Pozbawienie prokuratorów i sędziów ochrony przysługującej wymienionym służbom odebrać należy jako przysłowiowe „wystawienie na strzał”</w:t>
      </w:r>
      <w:r w:rsidR="00851B95" w:rsidRPr="001512A1">
        <w:rPr>
          <w:rFonts w:ascii="Bookman Old Style" w:hAnsi="Bookman Old Style"/>
          <w:sz w:val="22"/>
          <w:szCs w:val="22"/>
        </w:rPr>
        <w:t xml:space="preserve">. Jest bezsporne, iż jawność </w:t>
      </w:r>
      <w:r w:rsidR="005C2B66" w:rsidRPr="001512A1">
        <w:rPr>
          <w:rFonts w:ascii="Bookman Old Style" w:hAnsi="Bookman Old Style"/>
          <w:sz w:val="22"/>
          <w:szCs w:val="22"/>
        </w:rPr>
        <w:t xml:space="preserve">oświadczeń majątkowych ułatwi przestępcom uzyskiwanie informacji </w:t>
      </w:r>
      <w:r w:rsidR="001245ED">
        <w:rPr>
          <w:rFonts w:ascii="Bookman Old Style" w:hAnsi="Bookman Old Style"/>
          <w:sz w:val="22"/>
          <w:szCs w:val="22"/>
        </w:rPr>
        <w:br/>
      </w:r>
      <w:r w:rsidR="005C2B66" w:rsidRPr="001512A1">
        <w:rPr>
          <w:rFonts w:ascii="Bookman Old Style" w:hAnsi="Bookman Old Style"/>
          <w:sz w:val="22"/>
          <w:szCs w:val="22"/>
        </w:rPr>
        <w:t>o posiadanych przez sędziów i prokuratorów nieruchomościach, samochodach, czy inny</w:t>
      </w:r>
      <w:r w:rsidR="00851B95" w:rsidRPr="001512A1">
        <w:rPr>
          <w:rFonts w:ascii="Bookman Old Style" w:hAnsi="Bookman Old Style"/>
          <w:sz w:val="22"/>
          <w:szCs w:val="22"/>
        </w:rPr>
        <w:t>m wartościowym mieniu ruchomym. Tym sposobem</w:t>
      </w:r>
      <w:r w:rsidR="001245ED">
        <w:rPr>
          <w:rFonts w:ascii="Bookman Old Style" w:hAnsi="Bookman Old Style"/>
          <w:sz w:val="22"/>
          <w:szCs w:val="22"/>
        </w:rPr>
        <w:t xml:space="preserve"> - </w:t>
      </w:r>
      <w:r w:rsidR="00851B95" w:rsidRPr="001512A1">
        <w:rPr>
          <w:rFonts w:ascii="Bookman Old Style" w:hAnsi="Bookman Old Style"/>
          <w:sz w:val="22"/>
          <w:szCs w:val="22"/>
        </w:rPr>
        <w:t xml:space="preserve">należy wyrazić nadzieje, iż nieświadomie </w:t>
      </w:r>
      <w:r w:rsidR="001245ED">
        <w:rPr>
          <w:rFonts w:ascii="Bookman Old Style" w:hAnsi="Bookman Old Style"/>
          <w:sz w:val="22"/>
          <w:szCs w:val="22"/>
        </w:rPr>
        <w:t xml:space="preserve">- </w:t>
      </w:r>
      <w:r w:rsidR="00851B95" w:rsidRPr="001512A1">
        <w:rPr>
          <w:rFonts w:ascii="Bookman Old Style" w:hAnsi="Bookman Old Style"/>
          <w:sz w:val="22"/>
          <w:szCs w:val="22"/>
        </w:rPr>
        <w:t xml:space="preserve">autorzy projektowanych zmian, umiejscowili „państwo” w roli </w:t>
      </w:r>
      <w:r w:rsidR="001245ED">
        <w:rPr>
          <w:rFonts w:ascii="Bookman Old Style" w:hAnsi="Bookman Old Style"/>
          <w:sz w:val="22"/>
          <w:szCs w:val="22"/>
        </w:rPr>
        <w:t>wyczerpującego</w:t>
      </w:r>
      <w:r w:rsidR="00851B95" w:rsidRPr="001512A1">
        <w:rPr>
          <w:rFonts w:ascii="Bookman Old Style" w:hAnsi="Bookman Old Style"/>
          <w:sz w:val="22"/>
          <w:szCs w:val="22"/>
        </w:rPr>
        <w:t xml:space="preserve"> znamiona pomocnictwa w relacji do sprawców czynów zabronionych, którzy noszą się z zamiarem realizacji zamachu na mienie należące do będących w jego służbie funkcjonariuszy – sędziów i prokuratorów. </w:t>
      </w:r>
      <w:r w:rsidR="00BD7417" w:rsidRPr="001512A1">
        <w:rPr>
          <w:rFonts w:ascii="Bookman Old Style" w:hAnsi="Bookman Old Style" w:cs="Arial"/>
          <w:bCs/>
          <w:color w:val="000000"/>
          <w:sz w:val="22"/>
          <w:szCs w:val="22"/>
        </w:rPr>
        <w:t xml:space="preserve">W ocenie Rady, autorzy projektowanych zmian całkowicie utracili z pola widzenia fakt, iż prokurator , jako strażnik praworządności, a nade wszystko oskarżyciel publiczny funkcjonuje w bardzo trudnych warunkach. Podejmuje setki decyzji, które mogą być niekorzystne dla stron postepowania, czy to podejrzanych, czy to pokrzywdzonych. Rozstrzyga o sprawach często najważniejszych dla tych osób, </w:t>
      </w:r>
      <w:r w:rsidR="001245ED">
        <w:rPr>
          <w:rFonts w:ascii="Bookman Old Style" w:hAnsi="Bookman Old Style" w:cs="Arial"/>
          <w:bCs/>
          <w:color w:val="000000"/>
          <w:sz w:val="22"/>
          <w:szCs w:val="22"/>
        </w:rPr>
        <w:br/>
      </w:r>
      <w:r w:rsidR="00BD7417" w:rsidRPr="001512A1">
        <w:rPr>
          <w:rFonts w:ascii="Bookman Old Style" w:hAnsi="Bookman Old Style" w:cs="Arial"/>
          <w:bCs/>
          <w:color w:val="000000"/>
          <w:sz w:val="22"/>
          <w:szCs w:val="22"/>
        </w:rPr>
        <w:t>u których może to wzbudzać silne emocje. W zasadzie</w:t>
      </w:r>
      <w:r w:rsidR="00390521">
        <w:rPr>
          <w:rFonts w:ascii="Bookman Old Style" w:hAnsi="Bookman Old Style" w:cs="Arial"/>
          <w:bCs/>
          <w:color w:val="000000"/>
          <w:sz w:val="22"/>
          <w:szCs w:val="22"/>
        </w:rPr>
        <w:t>,</w:t>
      </w:r>
      <w:r w:rsidR="00BD7417" w:rsidRPr="001512A1">
        <w:rPr>
          <w:rFonts w:ascii="Bookman Old Style" w:hAnsi="Bookman Old Style" w:cs="Arial"/>
          <w:bCs/>
          <w:color w:val="000000"/>
          <w:sz w:val="22"/>
          <w:szCs w:val="22"/>
        </w:rPr>
        <w:t xml:space="preserve"> zawsze z decyzji prokuratora ktoś jest niezadowolony. Częstokroć odnoszą się one do najcenniejszych dóbr człowieka tj. wolności ale i np. zdrowia czy życia albo wkraczają w relacje rodzinne. Publiczne ujawnienie danych odnoszących się do nich, w sytuacji gdy nierzadkie są sytuacje stykania się w ramach czynności służbowych z przedstawicielami świata przestępczego, w tym przestępczości zorganizowanej albo zdesperowanych stron sporów rodzinnych naraża ich, ich rodziny i majątek na realne niebezpieczeństwo.</w:t>
      </w:r>
    </w:p>
    <w:p w:rsidR="00220ADA" w:rsidRPr="00220ADA" w:rsidRDefault="00220ADA" w:rsidP="00220ADA">
      <w:pPr>
        <w:pStyle w:val="NormalnyWeb"/>
        <w:numPr>
          <w:ilvl w:val="0"/>
          <w:numId w:val="2"/>
        </w:numPr>
        <w:spacing w:line="360" w:lineRule="auto"/>
        <w:jc w:val="both"/>
        <w:rPr>
          <w:rFonts w:ascii="Bookman Old Style" w:hAnsi="Bookman Old Style"/>
          <w:b/>
          <w:sz w:val="22"/>
          <w:szCs w:val="22"/>
        </w:rPr>
      </w:pPr>
      <w:r w:rsidRPr="00220ADA">
        <w:rPr>
          <w:rFonts w:ascii="Bookman Old Style" w:hAnsi="Bookman Old Style" w:cs="Arial"/>
          <w:b/>
          <w:bCs/>
          <w:color w:val="000000"/>
          <w:sz w:val="22"/>
          <w:szCs w:val="22"/>
        </w:rPr>
        <w:t>Brak środków finansowych na wprow</w:t>
      </w:r>
      <w:r w:rsidR="00872CF9">
        <w:rPr>
          <w:rFonts w:ascii="Bookman Old Style" w:hAnsi="Bookman Old Style" w:cs="Arial"/>
          <w:b/>
          <w:bCs/>
          <w:color w:val="000000"/>
          <w:sz w:val="22"/>
          <w:szCs w:val="22"/>
        </w:rPr>
        <w:t>adzenie projektowanych rozwiązań</w:t>
      </w:r>
      <w:r w:rsidRPr="00220ADA">
        <w:rPr>
          <w:rFonts w:ascii="Bookman Old Style" w:hAnsi="Bookman Old Style" w:cs="Arial"/>
          <w:b/>
          <w:bCs/>
          <w:color w:val="000000"/>
          <w:sz w:val="22"/>
          <w:szCs w:val="22"/>
        </w:rPr>
        <w:t xml:space="preserve"> i sprzeczność z prawem międzynarodowym.</w:t>
      </w:r>
    </w:p>
    <w:p w:rsidR="00BF088C" w:rsidRPr="001512A1" w:rsidRDefault="00D14A1B" w:rsidP="001512A1">
      <w:pPr>
        <w:pStyle w:val="NormalnyWeb"/>
        <w:spacing w:line="360" w:lineRule="auto"/>
        <w:jc w:val="both"/>
        <w:rPr>
          <w:rFonts w:ascii="Bookman Old Style" w:hAnsi="Bookman Old Style"/>
          <w:sz w:val="22"/>
          <w:szCs w:val="22"/>
        </w:rPr>
      </w:pPr>
      <w:r w:rsidRPr="001512A1">
        <w:rPr>
          <w:rFonts w:ascii="Bookman Old Style" w:hAnsi="Bookman Old Style"/>
          <w:sz w:val="22"/>
          <w:szCs w:val="22"/>
        </w:rPr>
        <w:t xml:space="preserve">Rada Główna </w:t>
      </w:r>
      <w:proofErr w:type="spellStart"/>
      <w:r w:rsidRPr="001512A1">
        <w:rPr>
          <w:rFonts w:ascii="Bookman Old Style" w:hAnsi="Bookman Old Style"/>
          <w:sz w:val="22"/>
          <w:szCs w:val="22"/>
        </w:rPr>
        <w:t>ZZPiPP</w:t>
      </w:r>
      <w:proofErr w:type="spellEnd"/>
      <w:r w:rsidRPr="001512A1">
        <w:rPr>
          <w:rFonts w:ascii="Bookman Old Style" w:hAnsi="Bookman Old Style"/>
          <w:sz w:val="22"/>
          <w:szCs w:val="22"/>
        </w:rPr>
        <w:t xml:space="preserve"> RP nie podziela poglądu autorów projektu, w zakresie oceny skutków regulacji oraz zgodności z prawem międzynarodowym, w tym prawem Unii Europejskiej. </w:t>
      </w:r>
    </w:p>
    <w:p w:rsidR="00A5146F" w:rsidRPr="001512A1" w:rsidRDefault="00D14A1B" w:rsidP="001512A1">
      <w:pPr>
        <w:pStyle w:val="NormalnyWeb"/>
        <w:spacing w:line="360" w:lineRule="auto"/>
        <w:jc w:val="both"/>
        <w:rPr>
          <w:rFonts w:ascii="Bookman Old Style" w:hAnsi="Bookman Old Style"/>
          <w:sz w:val="22"/>
          <w:szCs w:val="22"/>
        </w:rPr>
      </w:pPr>
      <w:r w:rsidRPr="001512A1">
        <w:rPr>
          <w:rFonts w:ascii="Bookman Old Style" w:hAnsi="Bookman Old Style"/>
          <w:sz w:val="22"/>
          <w:szCs w:val="22"/>
        </w:rPr>
        <w:t>W pierwszej kolejności podkreślenia wymaga fakt, iż projektodawca nie przewidział zabezpieczenia finansowego niezbędnego do wprowadzenia projektowanych instru</w:t>
      </w:r>
      <w:r w:rsidR="00A5146F" w:rsidRPr="001512A1">
        <w:rPr>
          <w:rFonts w:ascii="Bookman Old Style" w:hAnsi="Bookman Old Style"/>
          <w:sz w:val="22"/>
          <w:szCs w:val="22"/>
        </w:rPr>
        <w:t>mentów kontrolnych. Wprowadzenie</w:t>
      </w:r>
      <w:r w:rsidRPr="001512A1">
        <w:rPr>
          <w:rFonts w:ascii="Bookman Old Style" w:hAnsi="Bookman Old Style"/>
          <w:sz w:val="22"/>
          <w:szCs w:val="22"/>
        </w:rPr>
        <w:t xml:space="preserve"> obowiązku publikacji oświadczeń </w:t>
      </w:r>
      <w:r w:rsidR="001245ED">
        <w:rPr>
          <w:rFonts w:ascii="Bookman Old Style" w:hAnsi="Bookman Old Style"/>
          <w:sz w:val="22"/>
          <w:szCs w:val="22"/>
        </w:rPr>
        <w:br/>
      </w:r>
      <w:r w:rsidRPr="001512A1">
        <w:rPr>
          <w:rFonts w:ascii="Bookman Old Style" w:hAnsi="Bookman Old Style"/>
          <w:sz w:val="22"/>
          <w:szCs w:val="22"/>
        </w:rPr>
        <w:t xml:space="preserve">w Internecie w formie opatrzonej podpisem elektronicznym wymagać </w:t>
      </w:r>
      <w:r w:rsidR="00390521">
        <w:rPr>
          <w:rFonts w:ascii="Bookman Old Style" w:hAnsi="Bookman Old Style"/>
          <w:sz w:val="22"/>
          <w:szCs w:val="22"/>
        </w:rPr>
        <w:t xml:space="preserve">będzie </w:t>
      </w:r>
      <w:r w:rsidRPr="001512A1">
        <w:rPr>
          <w:rFonts w:ascii="Bookman Old Style" w:hAnsi="Bookman Old Style"/>
          <w:sz w:val="22"/>
          <w:szCs w:val="22"/>
        </w:rPr>
        <w:t xml:space="preserve">istotnych nakładów związanych z potrzebą stworzenia osobnego systemu informatycznego, zapewnienia jego obsługi przez wykwalifikowane i przeszkolone kadry, czy wreszcie objęcia prokuratorów oraz sędziów systemem indywidulanego </w:t>
      </w:r>
      <w:r w:rsidRPr="001512A1">
        <w:rPr>
          <w:rFonts w:ascii="Bookman Old Style" w:hAnsi="Bookman Old Style"/>
          <w:sz w:val="22"/>
          <w:szCs w:val="22"/>
        </w:rPr>
        <w:lastRenderedPageBreak/>
        <w:t xml:space="preserve">podpisu elektronicznego. </w:t>
      </w:r>
      <w:r w:rsidR="00A5146F" w:rsidRPr="001512A1">
        <w:rPr>
          <w:rFonts w:ascii="Bookman Old Style" w:hAnsi="Bookman Old Style"/>
          <w:sz w:val="22"/>
          <w:szCs w:val="22"/>
        </w:rPr>
        <w:t>Do obsługi systemu, niezbędne będzie utworzenie nowych stanowisk zarówno w jednostkach organizacyjnych prokuratur</w:t>
      </w:r>
      <w:r w:rsidR="00390521">
        <w:rPr>
          <w:rFonts w:ascii="Bookman Old Style" w:hAnsi="Bookman Old Style"/>
          <w:sz w:val="22"/>
          <w:szCs w:val="22"/>
        </w:rPr>
        <w:t xml:space="preserve">y jak i </w:t>
      </w:r>
      <w:r w:rsidR="00A5146F" w:rsidRPr="001512A1">
        <w:rPr>
          <w:rFonts w:ascii="Bookman Old Style" w:hAnsi="Bookman Old Style"/>
          <w:sz w:val="22"/>
          <w:szCs w:val="22"/>
        </w:rPr>
        <w:t xml:space="preserve">sądów, co wygeneruje konieczność poniesienia nieokreślonych przez autorów projektu kosztów. </w:t>
      </w:r>
      <w:r w:rsidR="00BF088C" w:rsidRPr="001512A1">
        <w:rPr>
          <w:rFonts w:ascii="Bookman Old Style" w:hAnsi="Bookman Old Style"/>
          <w:sz w:val="22"/>
          <w:szCs w:val="22"/>
        </w:rPr>
        <w:t xml:space="preserve">Projekt zatem, co pominięto w ocenie skutków regulacji, doprowadzi do dalszego rozrostu kosztownego aparatu </w:t>
      </w:r>
      <w:proofErr w:type="spellStart"/>
      <w:r w:rsidR="00BF088C" w:rsidRPr="001512A1">
        <w:rPr>
          <w:rFonts w:ascii="Bookman Old Style" w:hAnsi="Bookman Old Style"/>
          <w:sz w:val="22"/>
          <w:szCs w:val="22"/>
        </w:rPr>
        <w:t>administracyjno</w:t>
      </w:r>
      <w:proofErr w:type="spellEnd"/>
      <w:r w:rsidR="00BF088C" w:rsidRPr="001512A1">
        <w:rPr>
          <w:rFonts w:ascii="Bookman Old Style" w:hAnsi="Bookman Old Style"/>
          <w:sz w:val="22"/>
          <w:szCs w:val="22"/>
        </w:rPr>
        <w:t xml:space="preserve"> – biurokratycznego. Drastyczne zwiększenie ilości oświadczeń majątkowych podlegających </w:t>
      </w:r>
      <w:r w:rsidR="00BD7417" w:rsidRPr="001512A1">
        <w:rPr>
          <w:rFonts w:ascii="Bookman Old Style" w:hAnsi="Bookman Old Style"/>
          <w:sz w:val="22"/>
          <w:szCs w:val="22"/>
        </w:rPr>
        <w:t xml:space="preserve">analizie </w:t>
      </w:r>
      <w:r w:rsidR="00BF088C" w:rsidRPr="001512A1">
        <w:rPr>
          <w:rFonts w:ascii="Bookman Old Style" w:hAnsi="Bookman Old Style"/>
          <w:sz w:val="22"/>
          <w:szCs w:val="22"/>
        </w:rPr>
        <w:t>spowoduje albo konieczność zatrudnienia setek osób w</w:t>
      </w:r>
      <w:r w:rsidR="00BD7417" w:rsidRPr="001512A1">
        <w:rPr>
          <w:rFonts w:ascii="Bookman Old Style" w:hAnsi="Bookman Old Style"/>
          <w:sz w:val="22"/>
          <w:szCs w:val="22"/>
        </w:rPr>
        <w:t xml:space="preserve"> celu wykonywania tychże analiz</w:t>
      </w:r>
      <w:r w:rsidR="00BF088C" w:rsidRPr="001512A1">
        <w:rPr>
          <w:rFonts w:ascii="Bookman Old Style" w:hAnsi="Bookman Old Style"/>
          <w:sz w:val="22"/>
          <w:szCs w:val="22"/>
        </w:rPr>
        <w:t xml:space="preserve"> albo też fikcyjność tego procesu, ewentualnie spowolnienie</w:t>
      </w:r>
      <w:r w:rsidR="00390521">
        <w:rPr>
          <w:rFonts w:ascii="Bookman Old Style" w:hAnsi="Bookman Old Style"/>
          <w:sz w:val="22"/>
          <w:szCs w:val="22"/>
        </w:rPr>
        <w:t xml:space="preserve"> działalności jednostek sądów i prokuratur</w:t>
      </w:r>
      <w:r w:rsidR="00BF088C" w:rsidRPr="001512A1">
        <w:rPr>
          <w:rFonts w:ascii="Bookman Old Style" w:hAnsi="Bookman Old Style"/>
          <w:sz w:val="22"/>
          <w:szCs w:val="22"/>
        </w:rPr>
        <w:t xml:space="preserve">, które </w:t>
      </w:r>
      <w:r w:rsidR="00390521">
        <w:rPr>
          <w:rFonts w:ascii="Bookman Old Style" w:hAnsi="Bookman Old Style"/>
          <w:sz w:val="22"/>
          <w:szCs w:val="22"/>
        </w:rPr>
        <w:t>za</w:t>
      </w:r>
      <w:r w:rsidR="00BF088C" w:rsidRPr="001512A1">
        <w:rPr>
          <w:rFonts w:ascii="Bookman Old Style" w:hAnsi="Bookman Old Style"/>
          <w:sz w:val="22"/>
          <w:szCs w:val="22"/>
        </w:rPr>
        <w:t>miast</w:t>
      </w:r>
      <w:r w:rsidR="00872CF9">
        <w:rPr>
          <w:rFonts w:ascii="Bookman Old Style" w:hAnsi="Bookman Old Style"/>
          <w:sz w:val="22"/>
          <w:szCs w:val="22"/>
        </w:rPr>
        <w:t xml:space="preserve"> skupiać się na podstawowej</w:t>
      </w:r>
      <w:r w:rsidR="00BF088C" w:rsidRPr="001512A1">
        <w:rPr>
          <w:rFonts w:ascii="Bookman Old Style" w:hAnsi="Bookman Old Style"/>
          <w:sz w:val="22"/>
          <w:szCs w:val="22"/>
        </w:rPr>
        <w:t xml:space="preserve"> działalności zajmą się analizą tysięcy wpływających do nich oświadczeń</w:t>
      </w:r>
      <w:r w:rsidR="00BD7417" w:rsidRPr="001512A1">
        <w:rPr>
          <w:rFonts w:ascii="Bookman Old Style" w:hAnsi="Bookman Old Style"/>
          <w:sz w:val="22"/>
          <w:szCs w:val="22"/>
        </w:rPr>
        <w:t xml:space="preserve"> majątkowych.</w:t>
      </w:r>
    </w:p>
    <w:p w:rsidR="00CA256F" w:rsidRDefault="00CA256F" w:rsidP="001512A1">
      <w:pPr>
        <w:spacing w:line="360" w:lineRule="auto"/>
        <w:jc w:val="both"/>
        <w:rPr>
          <w:rFonts w:ascii="Bookman Old Style" w:eastAsia="Times New Roman" w:hAnsi="Bookman Old Style" w:cs="Times New Roman"/>
          <w:lang w:eastAsia="pl-PL"/>
        </w:rPr>
      </w:pPr>
      <w:r w:rsidRPr="001512A1">
        <w:rPr>
          <w:rFonts w:ascii="Bookman Old Style" w:hAnsi="Bookman Old Style"/>
        </w:rPr>
        <w:t xml:space="preserve">Nie można również podzielić poglądów autorów, że projekt jest zgodny z prawem międzynarodowym, w tym prawem Unii Europejskiej. </w:t>
      </w:r>
      <w:r w:rsidRPr="001512A1">
        <w:rPr>
          <w:rFonts w:ascii="Bookman Old Style" w:eastAsia="Times New Roman" w:hAnsi="Bookman Old Style" w:cs="Times New Roman"/>
          <w:lang w:eastAsia="pl-PL"/>
        </w:rPr>
        <w:t xml:space="preserve">Projektowany regulacje wymagają w szczególności pogłębionej analizy pod kątem zgodności z dyrektywą 95/46/WE Parlamentu Europejskiego i Rady z dnia 24 października 1995 r. </w:t>
      </w:r>
      <w:r w:rsidR="001245ED">
        <w:rPr>
          <w:rFonts w:ascii="Bookman Old Style" w:eastAsia="Times New Roman" w:hAnsi="Bookman Old Style" w:cs="Times New Roman"/>
          <w:lang w:eastAsia="pl-PL"/>
        </w:rPr>
        <w:br/>
      </w:r>
      <w:r w:rsidRPr="001512A1">
        <w:rPr>
          <w:rFonts w:ascii="Bookman Old Style" w:eastAsia="Times New Roman" w:hAnsi="Bookman Old Style" w:cs="Times New Roman"/>
          <w:lang w:eastAsia="pl-PL"/>
        </w:rPr>
        <w:t xml:space="preserve">w sprawie ochrony osób fizycznych w zakresie przetwarzania danych osobowych </w:t>
      </w:r>
      <w:r w:rsidR="001245ED">
        <w:rPr>
          <w:rFonts w:ascii="Bookman Old Style" w:eastAsia="Times New Roman" w:hAnsi="Bookman Old Style" w:cs="Times New Roman"/>
          <w:lang w:eastAsia="pl-PL"/>
        </w:rPr>
        <w:br/>
      </w:r>
      <w:r w:rsidRPr="001512A1">
        <w:rPr>
          <w:rFonts w:ascii="Bookman Old Style" w:eastAsia="Times New Roman" w:hAnsi="Bookman Old Style" w:cs="Times New Roman"/>
          <w:lang w:eastAsia="pl-PL"/>
        </w:rPr>
        <w:t xml:space="preserve">i swobodnego przepływu danych, oraz art. 8 Europejskiej Konwencji o Ochronie Praw Człowieka i Podstawowych Wolności. Należy </w:t>
      </w:r>
      <w:r w:rsidR="00390521" w:rsidRPr="001512A1">
        <w:rPr>
          <w:rFonts w:ascii="Bookman Old Style" w:eastAsia="Times New Roman" w:hAnsi="Bookman Old Style" w:cs="Times New Roman"/>
          <w:lang w:eastAsia="pl-PL"/>
        </w:rPr>
        <w:t>podkreślić</w:t>
      </w:r>
      <w:r w:rsidRPr="00CA256F">
        <w:rPr>
          <w:rFonts w:ascii="Bookman Old Style" w:eastAsia="Times New Roman" w:hAnsi="Bookman Old Style" w:cs="Times New Roman"/>
          <w:lang w:eastAsia="pl-PL"/>
        </w:rPr>
        <w:t xml:space="preserve">, że dane dotyczące dochodów, w szczególności źródeł, wysokości oraz sumy zgromadzonych środków materialnych (pieniężnych i niepieniężnych) oraz odnoszące się do nich szczegółowe dane osobowe podlegają ochronie w świetle art. 8 Konwencji. Z kolei z art. 6 ust. 1 dyrektywy wynika, że ustawodawca winien zapewnić, by dane osobowe, czyli w myśl art. 2 lit. a) wszelkie informacje dotyczące zidentyfikowanej lub możliwej do zidentyfikowania osoby fizycznej, były przetwarzane rzetelnie i legalnie, gromadzone do określonych, jednoznacznych i legalnych celów oraz nie były poddawane dalszemu przetwarzaniu w sposób niezgodny z tymi celami, a także prawidłowe, stosowne oraz nienadmierne ilościowo w stosunku do celów, dla których zostały zgromadzone lub dalej przetworzone. W rozumieniu dyrektywy, przetwarzanie danych osobowych polega m.in. na ujawnianiu, rozpowszechnianiu lub udostępnianiu w inny sposób danych osobowych (art. 2 lit. b). </w:t>
      </w:r>
      <w:r w:rsidRPr="001512A1">
        <w:rPr>
          <w:rFonts w:ascii="Bookman Old Style" w:eastAsia="Times New Roman" w:hAnsi="Bookman Old Style" w:cs="Times New Roman"/>
          <w:lang w:eastAsia="pl-PL"/>
        </w:rPr>
        <w:t>W opinii Rady Głównej Związku Zawodowego Prokuratorów i Pracowników Prokuratury RP</w:t>
      </w:r>
      <w:r w:rsidRPr="00CA256F">
        <w:rPr>
          <w:rFonts w:ascii="Bookman Old Style" w:eastAsia="Times New Roman" w:hAnsi="Bookman Old Style" w:cs="Times New Roman"/>
          <w:lang w:eastAsia="pl-PL"/>
        </w:rPr>
        <w:t xml:space="preserve"> projektowana ustawa, szczególnie w zakresie ujawniania treści oświadczeń majątkowych, stanowi ingerencję w życie prywatne (art. 8 ust. 2 Konwencji). </w:t>
      </w:r>
      <w:r w:rsidR="00390521">
        <w:rPr>
          <w:rFonts w:ascii="Bookman Old Style" w:eastAsia="Times New Roman" w:hAnsi="Bookman Old Style" w:cs="Times New Roman"/>
          <w:lang w:eastAsia="pl-PL"/>
        </w:rPr>
        <w:t xml:space="preserve">Przypomnieć w tym miejscu należy, iż </w:t>
      </w:r>
      <w:r w:rsidRPr="00CA256F">
        <w:rPr>
          <w:rFonts w:ascii="Bookman Old Style" w:eastAsia="Times New Roman" w:hAnsi="Bookman Old Style" w:cs="Times New Roman"/>
          <w:lang w:eastAsia="pl-PL"/>
        </w:rPr>
        <w:t xml:space="preserve">Europejski Trybunał Praw Człowieka w wyroku z dnia 16 lutego 2000 r. w sprawie </w:t>
      </w:r>
      <w:proofErr w:type="spellStart"/>
      <w:r w:rsidRPr="00CA256F">
        <w:rPr>
          <w:rFonts w:ascii="Bookman Old Style" w:eastAsia="Times New Roman" w:hAnsi="Bookman Old Style" w:cs="Times New Roman"/>
          <w:lang w:eastAsia="pl-PL"/>
        </w:rPr>
        <w:t>Amann</w:t>
      </w:r>
      <w:proofErr w:type="spellEnd"/>
      <w:r w:rsidRPr="00CA256F">
        <w:rPr>
          <w:rFonts w:ascii="Bookman Old Style" w:eastAsia="Times New Roman" w:hAnsi="Bookman Old Style" w:cs="Times New Roman"/>
          <w:lang w:eastAsia="pl-PL"/>
        </w:rPr>
        <w:t xml:space="preserve"> przeciwko Szwajcarii (Wielka </w:t>
      </w:r>
      <w:r w:rsidRPr="00CA256F">
        <w:rPr>
          <w:rFonts w:ascii="Bookman Old Style" w:eastAsia="Times New Roman" w:hAnsi="Bookman Old Style" w:cs="Times New Roman"/>
          <w:lang w:eastAsia="pl-PL"/>
        </w:rPr>
        <w:lastRenderedPageBreak/>
        <w:t xml:space="preserve">Izba, </w:t>
      </w:r>
      <w:r w:rsidRPr="001512A1">
        <w:rPr>
          <w:rFonts w:ascii="Bookman Old Style" w:eastAsia="Times New Roman" w:hAnsi="Bookman Old Style" w:cs="Times New Roman"/>
          <w:color w:val="000000"/>
          <w:shd w:val="clear" w:color="auto" w:fill="FFFFFF"/>
          <w:lang w:eastAsia="pl-PL"/>
        </w:rPr>
        <w:t>27798/95)</w:t>
      </w:r>
      <w:r w:rsidRPr="00CA256F">
        <w:rPr>
          <w:rFonts w:ascii="Bookman Old Style" w:eastAsia="Times New Roman" w:hAnsi="Bookman Old Style" w:cs="Times New Roman"/>
          <w:lang w:eastAsia="pl-PL"/>
        </w:rPr>
        <w:t xml:space="preserve"> orzekł, że pojęcie życie prywatne nie może być interpretowane w sposób zawężający oraz że nic nie uzasadnia wyłączenia działalności zawodowej z zakresu pojęcia życie prywatne. </w:t>
      </w:r>
      <w:r w:rsidR="00390521">
        <w:rPr>
          <w:rFonts w:ascii="Bookman Old Style" w:eastAsia="Times New Roman" w:hAnsi="Bookman Old Style" w:cs="Times New Roman"/>
          <w:lang w:eastAsia="pl-PL"/>
        </w:rPr>
        <w:t>W tym stanie rzeczy p</w:t>
      </w:r>
      <w:r w:rsidRPr="00CA256F">
        <w:rPr>
          <w:rFonts w:ascii="Bookman Old Style" w:eastAsia="Times New Roman" w:hAnsi="Bookman Old Style" w:cs="Times New Roman"/>
          <w:lang w:eastAsia="pl-PL"/>
        </w:rPr>
        <w:t xml:space="preserve">rzedstawienie imiennych danych na temat dochodów i majątku do wiadomości osobom trzecim narusza prawo do poszanowania życia prywatnego zainteresowanych i stanowi </w:t>
      </w:r>
      <w:r w:rsidR="00390521">
        <w:rPr>
          <w:rFonts w:ascii="Bookman Old Style" w:eastAsia="Times New Roman" w:hAnsi="Bookman Old Style" w:cs="Times New Roman"/>
          <w:lang w:eastAsia="pl-PL"/>
        </w:rPr>
        <w:t xml:space="preserve">nieuprawnioną </w:t>
      </w:r>
      <w:r w:rsidR="005E2B81">
        <w:rPr>
          <w:rFonts w:ascii="Bookman Old Style" w:eastAsia="Times New Roman" w:hAnsi="Bookman Old Style" w:cs="Times New Roman"/>
          <w:lang w:eastAsia="pl-PL"/>
        </w:rPr>
        <w:t xml:space="preserve">i nieproporcjonalną </w:t>
      </w:r>
      <w:r w:rsidRPr="00CA256F">
        <w:rPr>
          <w:rFonts w:ascii="Bookman Old Style" w:eastAsia="Times New Roman" w:hAnsi="Bookman Old Style" w:cs="Times New Roman"/>
          <w:lang w:eastAsia="pl-PL"/>
        </w:rPr>
        <w:t>ingerencję w rozumieniu art. 8 Konwencji.</w:t>
      </w:r>
    </w:p>
    <w:p w:rsidR="00220ADA" w:rsidRDefault="00220ADA" w:rsidP="001512A1">
      <w:pPr>
        <w:spacing w:line="360" w:lineRule="auto"/>
        <w:jc w:val="both"/>
        <w:rPr>
          <w:rFonts w:ascii="Bookman Old Style" w:eastAsia="Times New Roman" w:hAnsi="Bookman Old Style" w:cs="Times New Roman"/>
          <w:lang w:eastAsia="pl-PL"/>
        </w:rPr>
      </w:pPr>
    </w:p>
    <w:p w:rsidR="00220ADA" w:rsidRPr="00220ADA" w:rsidRDefault="00220ADA" w:rsidP="00220ADA">
      <w:pPr>
        <w:pStyle w:val="Akapitzlist"/>
        <w:numPr>
          <w:ilvl w:val="0"/>
          <w:numId w:val="2"/>
        </w:numPr>
        <w:spacing w:line="360" w:lineRule="auto"/>
        <w:jc w:val="both"/>
        <w:rPr>
          <w:rFonts w:ascii="Bookman Old Style" w:eastAsia="Times New Roman" w:hAnsi="Bookman Old Style" w:cs="Times New Roman"/>
          <w:b/>
          <w:lang w:eastAsia="pl-PL"/>
        </w:rPr>
      </w:pPr>
      <w:r w:rsidRPr="00220ADA">
        <w:rPr>
          <w:rFonts w:ascii="Bookman Old Style" w:eastAsia="Times New Roman" w:hAnsi="Bookman Old Style" w:cs="Times New Roman"/>
          <w:b/>
          <w:lang w:eastAsia="pl-PL"/>
        </w:rPr>
        <w:t>Niecelowość objęcia oświadczeniami niektórych kategorii urzędników zatrudnionych w prokuraturach i sądach oraz ławników.</w:t>
      </w:r>
    </w:p>
    <w:p w:rsidR="00CA256F" w:rsidRPr="001512A1" w:rsidRDefault="00CA256F" w:rsidP="001512A1">
      <w:pPr>
        <w:spacing w:after="0" w:line="360" w:lineRule="auto"/>
        <w:jc w:val="both"/>
        <w:rPr>
          <w:rFonts w:ascii="Bookman Old Style" w:eastAsia="Times New Roman" w:hAnsi="Bookman Old Style" w:cs="Times New Roman"/>
          <w:lang w:eastAsia="pl-PL"/>
        </w:rPr>
      </w:pPr>
    </w:p>
    <w:p w:rsidR="00BF088C" w:rsidRDefault="00A5146F" w:rsidP="001512A1">
      <w:pPr>
        <w:spacing w:after="0" w:line="360" w:lineRule="auto"/>
        <w:jc w:val="both"/>
        <w:rPr>
          <w:rFonts w:ascii="Bookman Old Style" w:eastAsia="Times New Roman" w:hAnsi="Bookman Old Style" w:cs="Times New Roman"/>
          <w:lang w:eastAsia="pl-PL"/>
        </w:rPr>
      </w:pPr>
      <w:r w:rsidRPr="001512A1">
        <w:rPr>
          <w:rFonts w:ascii="Bookman Old Style" w:eastAsia="Times New Roman" w:hAnsi="Bookman Old Style" w:cs="Times New Roman"/>
          <w:lang w:eastAsia="pl-PL"/>
        </w:rPr>
        <w:t xml:space="preserve">Za całkowicie bezpodstawne w opinii Rady Głównej uznać należy zamieszczenie </w:t>
      </w:r>
      <w:r w:rsidR="005E2B81">
        <w:rPr>
          <w:rFonts w:ascii="Bookman Old Style" w:eastAsia="Times New Roman" w:hAnsi="Bookman Old Style" w:cs="Times New Roman"/>
          <w:lang w:eastAsia="pl-PL"/>
        </w:rPr>
        <w:br/>
      </w:r>
      <w:r w:rsidRPr="001512A1">
        <w:rPr>
          <w:rFonts w:ascii="Bookman Old Style" w:eastAsia="Times New Roman" w:hAnsi="Bookman Old Style" w:cs="Times New Roman"/>
          <w:lang w:eastAsia="pl-PL"/>
        </w:rPr>
        <w:t>w gronie</w:t>
      </w:r>
      <w:r w:rsidRPr="00A5146F">
        <w:rPr>
          <w:rFonts w:ascii="Bookman Old Style" w:eastAsia="Times New Roman" w:hAnsi="Bookman Old Style" w:cs="Times New Roman"/>
          <w:lang w:eastAsia="pl-PL"/>
        </w:rPr>
        <w:t xml:space="preserve"> osób obowiązanych do składania oświadczeń majątkowych asystentów prokuratorów</w:t>
      </w:r>
      <w:r w:rsidRPr="001512A1">
        <w:rPr>
          <w:rFonts w:ascii="Bookman Old Style" w:eastAsia="Times New Roman" w:hAnsi="Bookman Old Style" w:cs="Times New Roman"/>
          <w:lang w:eastAsia="pl-PL"/>
        </w:rPr>
        <w:t xml:space="preserve"> i </w:t>
      </w:r>
      <w:r w:rsidRPr="00A5146F">
        <w:rPr>
          <w:rFonts w:ascii="Bookman Old Style" w:eastAsia="Times New Roman" w:hAnsi="Bookman Old Style" w:cs="Times New Roman"/>
          <w:lang w:eastAsia="pl-PL"/>
        </w:rPr>
        <w:t xml:space="preserve">sędziów </w:t>
      </w:r>
      <w:r w:rsidRPr="001512A1">
        <w:rPr>
          <w:rFonts w:ascii="Bookman Old Style" w:eastAsia="Times New Roman" w:hAnsi="Bookman Old Style" w:cs="Times New Roman"/>
          <w:lang w:eastAsia="pl-PL"/>
        </w:rPr>
        <w:t>oraz ławników. N</w:t>
      </w:r>
      <w:r w:rsidRPr="00A5146F">
        <w:rPr>
          <w:rFonts w:ascii="Bookman Old Style" w:eastAsia="Times New Roman" w:hAnsi="Bookman Old Style" w:cs="Times New Roman"/>
          <w:lang w:eastAsia="pl-PL"/>
        </w:rPr>
        <w:t xml:space="preserve">ieprzekonywające jest uzasadnienie Projektu w części dotyczącej dodania przedstawicieli tych grup funkcjonujących </w:t>
      </w:r>
      <w:r w:rsidR="005E2B81">
        <w:rPr>
          <w:rFonts w:ascii="Bookman Old Style" w:eastAsia="Times New Roman" w:hAnsi="Bookman Old Style" w:cs="Times New Roman"/>
          <w:lang w:eastAsia="pl-PL"/>
        </w:rPr>
        <w:br/>
      </w:r>
      <w:r w:rsidRPr="00A5146F">
        <w:rPr>
          <w:rFonts w:ascii="Bookman Old Style" w:eastAsia="Times New Roman" w:hAnsi="Bookman Old Style" w:cs="Times New Roman"/>
          <w:lang w:eastAsia="pl-PL"/>
        </w:rPr>
        <w:t>w sądownictwie i prokuraturze do grona osób obowiązanych do sk</w:t>
      </w:r>
      <w:r w:rsidRPr="001512A1">
        <w:rPr>
          <w:rFonts w:ascii="Bookman Old Style" w:eastAsia="Times New Roman" w:hAnsi="Bookman Old Style" w:cs="Times New Roman"/>
          <w:lang w:eastAsia="pl-PL"/>
        </w:rPr>
        <w:t xml:space="preserve">ładania oświadczeń majątkowych, w szczególności wobec powszechnie znanego faktu </w:t>
      </w:r>
      <w:r w:rsidR="00BF088C" w:rsidRPr="001512A1">
        <w:rPr>
          <w:rFonts w:ascii="Bookman Old Style" w:eastAsia="Times New Roman" w:hAnsi="Bookman Old Style" w:cs="Times New Roman"/>
          <w:lang w:eastAsia="pl-PL"/>
        </w:rPr>
        <w:t>stosunkowo niskich uposażeń wymienionych</w:t>
      </w:r>
      <w:r w:rsidR="00390521">
        <w:rPr>
          <w:rFonts w:ascii="Bookman Old Style" w:eastAsia="Times New Roman" w:hAnsi="Bookman Old Style" w:cs="Times New Roman"/>
          <w:lang w:eastAsia="pl-PL"/>
        </w:rPr>
        <w:t xml:space="preserve"> grup zawodowych</w:t>
      </w:r>
      <w:r w:rsidR="00BF088C" w:rsidRPr="001512A1">
        <w:rPr>
          <w:rFonts w:ascii="Bookman Old Style" w:eastAsia="Times New Roman" w:hAnsi="Bookman Old Style" w:cs="Times New Roman"/>
          <w:lang w:eastAsia="pl-PL"/>
        </w:rPr>
        <w:t xml:space="preserve">. Podkreślić przy tym należy, iż </w:t>
      </w:r>
      <w:r w:rsidRPr="00A5146F">
        <w:rPr>
          <w:rFonts w:ascii="Bookman Old Style" w:eastAsia="Times New Roman" w:hAnsi="Bookman Old Style" w:cs="Times New Roman"/>
          <w:lang w:eastAsia="pl-PL"/>
        </w:rPr>
        <w:t xml:space="preserve">ich przedstawiciele </w:t>
      </w:r>
      <w:r w:rsidR="00BF088C" w:rsidRPr="001512A1">
        <w:rPr>
          <w:rFonts w:ascii="Bookman Old Style" w:eastAsia="Times New Roman" w:hAnsi="Bookman Old Style" w:cs="Times New Roman"/>
          <w:lang w:eastAsia="pl-PL"/>
        </w:rPr>
        <w:t xml:space="preserve">z wyłączeniem ławników </w:t>
      </w:r>
      <w:r w:rsidRPr="00A5146F">
        <w:rPr>
          <w:rFonts w:ascii="Bookman Old Style" w:eastAsia="Times New Roman" w:hAnsi="Bookman Old Style" w:cs="Times New Roman"/>
          <w:lang w:eastAsia="pl-PL"/>
        </w:rPr>
        <w:t>nie mają w i</w:t>
      </w:r>
      <w:r w:rsidR="00BF088C" w:rsidRPr="001512A1">
        <w:rPr>
          <w:rFonts w:ascii="Bookman Old Style" w:eastAsia="Times New Roman" w:hAnsi="Bookman Old Style" w:cs="Times New Roman"/>
          <w:lang w:eastAsia="pl-PL"/>
        </w:rPr>
        <w:t xml:space="preserve">stocie kompetencji decyzyjnych, czy władczych, a zatem nie należą do osób narażanych na oddziaływanie korupcyjne. </w:t>
      </w:r>
      <w:r w:rsidR="005E2B81">
        <w:rPr>
          <w:rFonts w:ascii="Bookman Old Style" w:eastAsia="Times New Roman" w:hAnsi="Bookman Old Style" w:cs="Times New Roman"/>
          <w:lang w:eastAsia="pl-PL"/>
        </w:rPr>
        <w:t xml:space="preserve">Gdyby kierować się zatem logiką projektodawcy, obowiązkiem składania jawnych oświadczeń majątkowych należałoby objąć także pozostałych pracowników pionu administracyjnego zatrudnionych w prokuraturze. </w:t>
      </w:r>
    </w:p>
    <w:p w:rsidR="001245ED" w:rsidRPr="001245ED" w:rsidRDefault="001245ED" w:rsidP="001512A1">
      <w:pPr>
        <w:spacing w:after="0" w:line="360" w:lineRule="auto"/>
        <w:jc w:val="both"/>
        <w:rPr>
          <w:rFonts w:ascii="Bookman Old Style" w:eastAsia="Times New Roman" w:hAnsi="Bookman Old Style" w:cs="Times New Roman"/>
          <w:b/>
          <w:lang w:eastAsia="pl-PL"/>
        </w:rPr>
      </w:pPr>
    </w:p>
    <w:p w:rsidR="001245ED" w:rsidRPr="001245ED" w:rsidRDefault="001245ED" w:rsidP="001245ED">
      <w:pPr>
        <w:pStyle w:val="Akapitzlist"/>
        <w:numPr>
          <w:ilvl w:val="0"/>
          <w:numId w:val="2"/>
        </w:numPr>
        <w:spacing w:after="0" w:line="360" w:lineRule="auto"/>
        <w:jc w:val="both"/>
        <w:rPr>
          <w:rFonts w:ascii="Bookman Old Style" w:eastAsia="Times New Roman" w:hAnsi="Bookman Old Style" w:cs="Times New Roman"/>
          <w:b/>
          <w:lang w:eastAsia="pl-PL"/>
        </w:rPr>
      </w:pPr>
      <w:r w:rsidRPr="001245ED">
        <w:rPr>
          <w:rFonts w:ascii="Bookman Old Style" w:eastAsia="Times New Roman" w:hAnsi="Bookman Old Style" w:cs="Times New Roman"/>
          <w:b/>
          <w:lang w:eastAsia="pl-PL"/>
        </w:rPr>
        <w:t xml:space="preserve">Kary pieniężne wymierzane sędziom i prokuratorom przez Szefa CBA – naruszenie gwarancji niezawisłości oraz niezależności. </w:t>
      </w:r>
    </w:p>
    <w:p w:rsidR="0088407F" w:rsidRDefault="00CA256F" w:rsidP="001512A1">
      <w:pPr>
        <w:pStyle w:val="NormalnyWeb"/>
        <w:tabs>
          <w:tab w:val="left" w:pos="3960"/>
        </w:tabs>
        <w:spacing w:line="360" w:lineRule="auto"/>
        <w:jc w:val="both"/>
        <w:rPr>
          <w:rFonts w:ascii="Bookman Old Style" w:hAnsi="Bookman Old Style"/>
          <w:sz w:val="22"/>
          <w:szCs w:val="22"/>
        </w:rPr>
      </w:pPr>
      <w:r w:rsidRPr="001512A1">
        <w:rPr>
          <w:rFonts w:ascii="Bookman Old Style" w:hAnsi="Bookman Old Style"/>
          <w:sz w:val="22"/>
          <w:szCs w:val="22"/>
        </w:rPr>
        <w:t>Za szczególnie szkodliwe uznać należy rozwiązanie polegające na przekazywaniu</w:t>
      </w:r>
      <w:r w:rsidR="0088407F" w:rsidRPr="001512A1">
        <w:rPr>
          <w:rFonts w:ascii="Bookman Old Style" w:hAnsi="Bookman Old Style"/>
          <w:sz w:val="22"/>
          <w:szCs w:val="22"/>
        </w:rPr>
        <w:t xml:space="preserve"> losowo wybranych oświadczeń majątkowych </w:t>
      </w:r>
      <w:r w:rsidR="0098707C" w:rsidRPr="001512A1">
        <w:rPr>
          <w:rFonts w:ascii="Bookman Old Style" w:hAnsi="Bookman Old Style"/>
          <w:sz w:val="22"/>
          <w:szCs w:val="22"/>
        </w:rPr>
        <w:t xml:space="preserve">prokuratorów </w:t>
      </w:r>
      <w:r w:rsidR="0088407F" w:rsidRPr="001512A1">
        <w:rPr>
          <w:rFonts w:ascii="Bookman Old Style" w:hAnsi="Bookman Old Style"/>
          <w:sz w:val="22"/>
          <w:szCs w:val="22"/>
        </w:rPr>
        <w:t>sędziów</w:t>
      </w:r>
      <w:r w:rsidR="008E5440">
        <w:rPr>
          <w:rFonts w:ascii="Bookman Old Style" w:hAnsi="Bookman Old Style"/>
          <w:sz w:val="22"/>
          <w:szCs w:val="22"/>
        </w:rPr>
        <w:t xml:space="preserve"> CBA</w:t>
      </w:r>
      <w:r w:rsidR="00390521">
        <w:rPr>
          <w:rFonts w:ascii="Bookman Old Style" w:hAnsi="Bookman Old Style"/>
          <w:sz w:val="22"/>
          <w:szCs w:val="22"/>
        </w:rPr>
        <w:t xml:space="preserve">. </w:t>
      </w:r>
      <w:r w:rsidR="0098707C" w:rsidRPr="001512A1">
        <w:rPr>
          <w:rFonts w:ascii="Bookman Old Style" w:hAnsi="Bookman Old Style"/>
          <w:sz w:val="22"/>
          <w:szCs w:val="22"/>
        </w:rPr>
        <w:t xml:space="preserve">W opinii Rady Głównej kontrola oświadczeń majątkowych obu grup zawodowych winna być realizowana wyłączenie przez instytucje skarbowe, co </w:t>
      </w:r>
      <w:r w:rsidR="0088407F" w:rsidRPr="001512A1">
        <w:rPr>
          <w:rFonts w:ascii="Bookman Old Style" w:hAnsi="Bookman Old Style"/>
          <w:sz w:val="22"/>
          <w:szCs w:val="22"/>
        </w:rPr>
        <w:t xml:space="preserve">będzie całkowicie wystarczające dla stwierdzenia, czy nie zachodzi podejrzenie pozyskiwania przez </w:t>
      </w:r>
      <w:r w:rsidR="0098707C" w:rsidRPr="001512A1">
        <w:rPr>
          <w:rFonts w:ascii="Bookman Old Style" w:hAnsi="Bookman Old Style"/>
          <w:sz w:val="22"/>
          <w:szCs w:val="22"/>
        </w:rPr>
        <w:t xml:space="preserve">prokuratora lub sędziego </w:t>
      </w:r>
      <w:r w:rsidR="0088407F" w:rsidRPr="001512A1">
        <w:rPr>
          <w:rFonts w:ascii="Bookman Old Style" w:hAnsi="Bookman Old Style"/>
          <w:sz w:val="22"/>
          <w:szCs w:val="22"/>
        </w:rPr>
        <w:t xml:space="preserve">nielegalnych dochodów. </w:t>
      </w:r>
      <w:r w:rsidR="0098707C" w:rsidRPr="001512A1">
        <w:rPr>
          <w:rFonts w:ascii="Bookman Old Style" w:hAnsi="Bookman Old Style"/>
          <w:sz w:val="22"/>
          <w:szCs w:val="22"/>
        </w:rPr>
        <w:t xml:space="preserve">Szkodliwość i niecelowość tego rozwiązania potęguje fakt, iż prokuratorzy nadzorują śledztwa prowadzone przez funkcjonariuszy CBA, a sędziowie w sprawach objętych aktami oskarżenia wydają ostateczne rozstrzygnięcia. Dodatkowo należy zwrócić uwagę na bliżej </w:t>
      </w:r>
      <w:r w:rsidR="0098707C" w:rsidRPr="001512A1">
        <w:rPr>
          <w:rFonts w:ascii="Bookman Old Style" w:hAnsi="Bookman Old Style"/>
          <w:sz w:val="22"/>
          <w:szCs w:val="22"/>
        </w:rPr>
        <w:lastRenderedPageBreak/>
        <w:t xml:space="preserve">niesprecyzowany </w:t>
      </w:r>
      <w:r w:rsidR="0088407F" w:rsidRPr="001512A1">
        <w:rPr>
          <w:rFonts w:ascii="Bookman Old Style" w:hAnsi="Bookman Old Style"/>
          <w:sz w:val="22"/>
          <w:szCs w:val="22"/>
        </w:rPr>
        <w:t>charakter kar za niezłożenie oświadczenia majątkowego. Zwrot „kara pieniężna” odpowiada karze za wykroczenie skarbowe przewidz</w:t>
      </w:r>
      <w:r w:rsidR="0098707C" w:rsidRPr="001512A1">
        <w:rPr>
          <w:rFonts w:ascii="Bookman Old Style" w:hAnsi="Bookman Old Style"/>
          <w:sz w:val="22"/>
          <w:szCs w:val="22"/>
        </w:rPr>
        <w:t xml:space="preserve">iane </w:t>
      </w:r>
      <w:r w:rsidR="00273446">
        <w:rPr>
          <w:rFonts w:ascii="Bookman Old Style" w:hAnsi="Bookman Old Style"/>
          <w:sz w:val="22"/>
          <w:szCs w:val="22"/>
        </w:rPr>
        <w:br/>
      </w:r>
      <w:r w:rsidR="0098707C" w:rsidRPr="001512A1">
        <w:rPr>
          <w:rFonts w:ascii="Bookman Old Style" w:hAnsi="Bookman Old Style"/>
          <w:sz w:val="22"/>
          <w:szCs w:val="22"/>
        </w:rPr>
        <w:t>w Kodeksie karnym skarbowy</w:t>
      </w:r>
      <w:r w:rsidR="00390521">
        <w:rPr>
          <w:rFonts w:ascii="Bookman Old Style" w:hAnsi="Bookman Old Style"/>
          <w:sz w:val="22"/>
          <w:szCs w:val="22"/>
        </w:rPr>
        <w:t>m</w:t>
      </w:r>
      <w:r w:rsidR="0098707C" w:rsidRPr="001512A1">
        <w:rPr>
          <w:rFonts w:ascii="Bookman Old Style" w:hAnsi="Bookman Old Style"/>
          <w:sz w:val="22"/>
          <w:szCs w:val="22"/>
        </w:rPr>
        <w:t xml:space="preserve">. </w:t>
      </w:r>
      <w:r w:rsidR="0088407F" w:rsidRPr="001512A1">
        <w:rPr>
          <w:rFonts w:ascii="Bookman Old Style" w:hAnsi="Bookman Old Style"/>
          <w:sz w:val="22"/>
          <w:szCs w:val="22"/>
        </w:rPr>
        <w:t xml:space="preserve">Nie wiadomo więc, czy jest to kara za wykroczenie, </w:t>
      </w:r>
      <w:r w:rsidR="005D19FC">
        <w:rPr>
          <w:rFonts w:ascii="Bookman Old Style" w:hAnsi="Bookman Old Style"/>
          <w:sz w:val="22"/>
          <w:szCs w:val="22"/>
        </w:rPr>
        <w:t xml:space="preserve">czy też kara o charakterze administracyjnym. </w:t>
      </w:r>
      <w:r w:rsidR="0088407F" w:rsidRPr="001512A1">
        <w:rPr>
          <w:rFonts w:ascii="Bookman Old Style" w:hAnsi="Bookman Old Style"/>
          <w:sz w:val="22"/>
          <w:szCs w:val="22"/>
        </w:rPr>
        <w:t>Przede wszystkim jednak w stosunku do sędziów i prokuratorów Szef CBA nie może mieć uprawnień do nakładania jakichkolwiek kar pieniężnych z uw</w:t>
      </w:r>
      <w:r w:rsidR="0098707C" w:rsidRPr="001512A1">
        <w:rPr>
          <w:rFonts w:ascii="Bookman Old Style" w:hAnsi="Bookman Old Style"/>
          <w:sz w:val="22"/>
          <w:szCs w:val="22"/>
        </w:rPr>
        <w:t xml:space="preserve">agi na chroniący ich immunitet. Sędziowie </w:t>
      </w:r>
      <w:r w:rsidR="003408CB">
        <w:rPr>
          <w:rFonts w:ascii="Bookman Old Style" w:hAnsi="Bookman Old Style"/>
          <w:sz w:val="22"/>
          <w:szCs w:val="22"/>
        </w:rPr>
        <w:br/>
      </w:r>
      <w:r w:rsidR="0098707C" w:rsidRPr="001512A1">
        <w:rPr>
          <w:rFonts w:ascii="Bookman Old Style" w:hAnsi="Bookman Old Style"/>
          <w:sz w:val="22"/>
          <w:szCs w:val="22"/>
        </w:rPr>
        <w:t>i prokuratorzy</w:t>
      </w:r>
      <w:r w:rsidR="0088407F" w:rsidRPr="001512A1">
        <w:rPr>
          <w:rFonts w:ascii="Bookman Old Style" w:hAnsi="Bookman Old Style"/>
          <w:sz w:val="22"/>
          <w:szCs w:val="22"/>
        </w:rPr>
        <w:t xml:space="preserve"> za niezłożenie oświadcz</w:t>
      </w:r>
      <w:r w:rsidR="0098707C" w:rsidRPr="001512A1">
        <w:rPr>
          <w:rFonts w:ascii="Bookman Old Style" w:hAnsi="Bookman Old Style"/>
          <w:sz w:val="22"/>
          <w:szCs w:val="22"/>
        </w:rPr>
        <w:t>enia majątkowego odpowiadać mogą</w:t>
      </w:r>
      <w:r w:rsidR="0088407F" w:rsidRPr="001512A1">
        <w:rPr>
          <w:rFonts w:ascii="Bookman Old Style" w:hAnsi="Bookman Old Style"/>
          <w:sz w:val="22"/>
          <w:szCs w:val="22"/>
        </w:rPr>
        <w:t xml:space="preserve"> wyłąc</w:t>
      </w:r>
      <w:r w:rsidR="0098707C" w:rsidRPr="001512A1">
        <w:rPr>
          <w:rFonts w:ascii="Bookman Old Style" w:hAnsi="Bookman Old Style"/>
          <w:sz w:val="22"/>
          <w:szCs w:val="22"/>
        </w:rPr>
        <w:t>znie przed sądem dyscyplinarnym, a nie jak to proponu</w:t>
      </w:r>
      <w:r w:rsidR="000F3C15">
        <w:rPr>
          <w:rFonts w:ascii="Bookman Old Style" w:hAnsi="Bookman Old Style"/>
          <w:sz w:val="22"/>
          <w:szCs w:val="22"/>
        </w:rPr>
        <w:t>ją autorzy projektowanych zmian</w:t>
      </w:r>
      <w:r w:rsidR="0098707C" w:rsidRPr="001512A1">
        <w:rPr>
          <w:rFonts w:ascii="Bookman Old Style" w:hAnsi="Bookman Old Style"/>
          <w:sz w:val="22"/>
          <w:szCs w:val="22"/>
        </w:rPr>
        <w:t xml:space="preserve"> - przed szefem Centralnego Biura Antykorupcyjnego</w:t>
      </w:r>
      <w:r w:rsidR="00B57224">
        <w:rPr>
          <w:rFonts w:ascii="Bookman Old Style" w:hAnsi="Bookman Old Style"/>
          <w:sz w:val="22"/>
          <w:szCs w:val="22"/>
        </w:rPr>
        <w:t>. Jeśli zatem przyjąć, iż p</w:t>
      </w:r>
      <w:r w:rsidR="000F3C15">
        <w:rPr>
          <w:rFonts w:ascii="Bookman Old Style" w:hAnsi="Bookman Old Style"/>
          <w:sz w:val="22"/>
          <w:szCs w:val="22"/>
        </w:rPr>
        <w:t>roponowane rozwiązanie konstytuuje</w:t>
      </w:r>
      <w:r w:rsidR="00B57224">
        <w:rPr>
          <w:rFonts w:ascii="Bookman Old Style" w:hAnsi="Bookman Old Style"/>
          <w:sz w:val="22"/>
          <w:szCs w:val="22"/>
        </w:rPr>
        <w:t xml:space="preserve"> odpowiedzialność administracyjną, to wprowadzenie takiego reżimu stanowi ominięcie szeregu gwarancji prawnych, jakimi obwarowany jest system immunitetów sędziów oraz prokuratorów, rozumianych jako jedna </w:t>
      </w:r>
      <w:r w:rsidR="00F404FB">
        <w:rPr>
          <w:rFonts w:ascii="Bookman Old Style" w:hAnsi="Bookman Old Style"/>
          <w:sz w:val="22"/>
          <w:szCs w:val="22"/>
        </w:rPr>
        <w:t xml:space="preserve">z ustawowych </w:t>
      </w:r>
      <w:r w:rsidR="00B57224">
        <w:rPr>
          <w:rFonts w:ascii="Bookman Old Style" w:hAnsi="Bookman Old Style"/>
          <w:sz w:val="22"/>
          <w:szCs w:val="22"/>
        </w:rPr>
        <w:t xml:space="preserve">gwarancji niezależności </w:t>
      </w:r>
      <w:r w:rsidR="00F404FB">
        <w:rPr>
          <w:rFonts w:ascii="Bookman Old Style" w:hAnsi="Bookman Old Style"/>
          <w:sz w:val="22"/>
          <w:szCs w:val="22"/>
        </w:rPr>
        <w:br/>
      </w:r>
      <w:r w:rsidR="00B57224">
        <w:rPr>
          <w:rFonts w:ascii="Bookman Old Style" w:hAnsi="Bookman Old Style"/>
          <w:sz w:val="22"/>
          <w:szCs w:val="22"/>
        </w:rPr>
        <w:t xml:space="preserve">i niezawisłości. </w:t>
      </w:r>
    </w:p>
    <w:p w:rsidR="001245ED" w:rsidRPr="001245ED" w:rsidRDefault="001245ED" w:rsidP="001245ED">
      <w:pPr>
        <w:pStyle w:val="NormalnyWeb"/>
        <w:numPr>
          <w:ilvl w:val="0"/>
          <w:numId w:val="2"/>
        </w:numPr>
        <w:tabs>
          <w:tab w:val="left" w:pos="3960"/>
        </w:tabs>
        <w:spacing w:line="360" w:lineRule="auto"/>
        <w:jc w:val="both"/>
        <w:rPr>
          <w:rFonts w:ascii="Bookman Old Style" w:hAnsi="Bookman Old Style"/>
          <w:b/>
          <w:sz w:val="22"/>
          <w:szCs w:val="22"/>
        </w:rPr>
      </w:pPr>
      <w:r w:rsidRPr="001245ED">
        <w:rPr>
          <w:rFonts w:ascii="Bookman Old Style" w:hAnsi="Bookman Old Style"/>
          <w:b/>
          <w:sz w:val="22"/>
          <w:szCs w:val="22"/>
        </w:rPr>
        <w:t>Wnioski.</w:t>
      </w:r>
    </w:p>
    <w:p w:rsidR="0098707C" w:rsidRPr="001512A1" w:rsidRDefault="000F3C15" w:rsidP="001512A1">
      <w:pPr>
        <w:pStyle w:val="NormalnyWeb"/>
        <w:spacing w:line="360" w:lineRule="auto"/>
        <w:jc w:val="both"/>
        <w:rPr>
          <w:rStyle w:val="Pogrubienie"/>
          <w:rFonts w:ascii="Bookman Old Style" w:hAnsi="Bookman Old Style"/>
          <w:b w:val="0"/>
          <w:sz w:val="22"/>
          <w:szCs w:val="22"/>
        </w:rPr>
      </w:pPr>
      <w:r>
        <w:rPr>
          <w:rStyle w:val="Pogrubienie"/>
          <w:rFonts w:ascii="Bookman Old Style" w:hAnsi="Bookman Old Style"/>
          <w:b w:val="0"/>
          <w:sz w:val="22"/>
          <w:szCs w:val="22"/>
        </w:rPr>
        <w:t>W</w:t>
      </w:r>
      <w:r w:rsidR="0098707C" w:rsidRPr="001512A1">
        <w:rPr>
          <w:rStyle w:val="Pogrubienie"/>
          <w:rFonts w:ascii="Bookman Old Style" w:hAnsi="Bookman Old Style"/>
          <w:b w:val="0"/>
          <w:sz w:val="22"/>
          <w:szCs w:val="22"/>
        </w:rPr>
        <w:t xml:space="preserve"> ocenie Rady Głównej Związku Zawodowego Prokuratorów i Pracowników Prokuratury RP, na dalszym etapie prac nad projektem za niezbędne uznać należy wyeliminowanie z jego treści w pierwszej kolejności obowiązku publikowania oświadczeń majątkowych prokura</w:t>
      </w:r>
      <w:r w:rsidR="001512A1" w:rsidRPr="001512A1">
        <w:rPr>
          <w:rStyle w:val="Pogrubienie"/>
          <w:rFonts w:ascii="Bookman Old Style" w:hAnsi="Bookman Old Style"/>
          <w:b w:val="0"/>
          <w:sz w:val="22"/>
          <w:szCs w:val="22"/>
        </w:rPr>
        <w:t xml:space="preserve">torów oraz sędziów w </w:t>
      </w:r>
      <w:r w:rsidR="00390521" w:rsidRPr="001512A1">
        <w:rPr>
          <w:rStyle w:val="Pogrubienie"/>
          <w:rFonts w:ascii="Bookman Old Style" w:hAnsi="Bookman Old Style"/>
          <w:b w:val="0"/>
          <w:sz w:val="22"/>
          <w:szCs w:val="22"/>
        </w:rPr>
        <w:t>Internecie</w:t>
      </w:r>
      <w:r w:rsidR="001512A1" w:rsidRPr="001512A1">
        <w:rPr>
          <w:rStyle w:val="Pogrubienie"/>
          <w:rFonts w:ascii="Bookman Old Style" w:hAnsi="Bookman Old Style"/>
          <w:b w:val="0"/>
          <w:sz w:val="22"/>
          <w:szCs w:val="22"/>
        </w:rPr>
        <w:t xml:space="preserve">, jako generującego istotne zagrożenia dla bezpieczeństwa obu grup oraz ich rodzin, </w:t>
      </w:r>
      <w:r>
        <w:rPr>
          <w:rStyle w:val="Pogrubienie"/>
          <w:rFonts w:ascii="Bookman Old Style" w:hAnsi="Bookman Old Style"/>
          <w:b w:val="0"/>
          <w:sz w:val="22"/>
          <w:szCs w:val="22"/>
        </w:rPr>
        <w:br/>
      </w:r>
      <w:r w:rsidR="001512A1" w:rsidRPr="001512A1">
        <w:rPr>
          <w:rStyle w:val="Pogrubienie"/>
          <w:rFonts w:ascii="Bookman Old Style" w:hAnsi="Bookman Old Style"/>
          <w:b w:val="0"/>
          <w:sz w:val="22"/>
          <w:szCs w:val="22"/>
        </w:rPr>
        <w:t>a nadto możliwości karania prokuratorów i</w:t>
      </w:r>
      <w:r w:rsidR="00583C53">
        <w:rPr>
          <w:rStyle w:val="Pogrubienie"/>
          <w:rFonts w:ascii="Bookman Old Style" w:hAnsi="Bookman Old Style"/>
          <w:b w:val="0"/>
          <w:sz w:val="22"/>
          <w:szCs w:val="22"/>
        </w:rPr>
        <w:t xml:space="preserve"> sędziów sankcjami</w:t>
      </w:r>
      <w:r w:rsidR="001512A1" w:rsidRPr="001512A1">
        <w:rPr>
          <w:rStyle w:val="Pogrubienie"/>
          <w:rFonts w:ascii="Bookman Old Style" w:hAnsi="Bookman Old Style"/>
          <w:b w:val="0"/>
          <w:sz w:val="22"/>
          <w:szCs w:val="22"/>
        </w:rPr>
        <w:t xml:space="preserve"> pieniężnymi wymierzanymi przez Szefa CBA wobec niezgodności z systemem immunitetów materialnych obejmujących odpowiedzialność za wykroczenia oraz konstytucyjnie </w:t>
      </w:r>
      <w:r w:rsidR="00583C53">
        <w:rPr>
          <w:rStyle w:val="Pogrubienie"/>
          <w:rFonts w:ascii="Bookman Old Style" w:hAnsi="Bookman Old Style"/>
          <w:b w:val="0"/>
          <w:sz w:val="22"/>
          <w:szCs w:val="22"/>
        </w:rPr>
        <w:br/>
      </w:r>
      <w:r w:rsidR="001512A1" w:rsidRPr="001512A1">
        <w:rPr>
          <w:rStyle w:val="Pogrubienie"/>
          <w:rFonts w:ascii="Bookman Old Style" w:hAnsi="Bookman Old Style"/>
          <w:b w:val="0"/>
          <w:sz w:val="22"/>
          <w:szCs w:val="22"/>
        </w:rPr>
        <w:t>i ustawowo gwarantowanymi zasadami niezawisłości i niezależności</w:t>
      </w:r>
      <w:r>
        <w:rPr>
          <w:rStyle w:val="Pogrubienie"/>
          <w:rFonts w:ascii="Bookman Old Style" w:hAnsi="Bookman Old Style"/>
          <w:b w:val="0"/>
          <w:sz w:val="22"/>
          <w:szCs w:val="22"/>
        </w:rPr>
        <w:t xml:space="preserve">. Dodatkowo autorzy propozycji powinni po uzyskaniu stanowisk podmiotów opiniujących zrewidować stawisko w zakresie podmiotów objętych obowiązkowym oświadczeniem majątkowym z uwzględnieniem uwag wskazanych w pkt IV opinii oraz dokonać kompleksowej analizy w sferze skutków regulacji dla budżetu Państwa, a nadto zgodności z normami prawa europejskiego. </w:t>
      </w:r>
      <w:r w:rsidR="000A136E">
        <w:rPr>
          <w:rStyle w:val="Pogrubienie"/>
          <w:rFonts w:ascii="Bookman Old Style" w:hAnsi="Bookman Old Style"/>
          <w:b w:val="0"/>
          <w:sz w:val="22"/>
          <w:szCs w:val="22"/>
        </w:rPr>
        <w:t xml:space="preserve">Dopiero tak przeprowadzone korekty będą uzasadniały skierowanie projektu </w:t>
      </w:r>
      <w:r w:rsidR="00F404FB">
        <w:rPr>
          <w:rStyle w:val="Pogrubienie"/>
          <w:rFonts w:ascii="Bookman Old Style" w:hAnsi="Bookman Old Style"/>
          <w:b w:val="0"/>
          <w:sz w:val="22"/>
          <w:szCs w:val="22"/>
        </w:rPr>
        <w:t>do</w:t>
      </w:r>
      <w:r w:rsidR="001A3595">
        <w:rPr>
          <w:rStyle w:val="Pogrubienie"/>
          <w:rFonts w:ascii="Bookman Old Style" w:hAnsi="Bookman Old Style"/>
          <w:b w:val="0"/>
          <w:sz w:val="22"/>
          <w:szCs w:val="22"/>
        </w:rPr>
        <w:t xml:space="preserve"> prac parlamentarnych. </w:t>
      </w:r>
    </w:p>
    <w:p w:rsidR="00DB7BBB" w:rsidRPr="001512A1" w:rsidRDefault="00DB7BBB" w:rsidP="001512A1">
      <w:pPr>
        <w:spacing w:line="360" w:lineRule="auto"/>
        <w:jc w:val="both"/>
        <w:rPr>
          <w:rFonts w:ascii="Bookman Old Style" w:hAnsi="Bookman Old Style"/>
        </w:rPr>
      </w:pPr>
    </w:p>
    <w:sectPr w:rsidR="00DB7BBB" w:rsidRPr="00151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B9F"/>
    <w:multiLevelType w:val="hybridMultilevel"/>
    <w:tmpl w:val="4FC470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C4C6398"/>
    <w:multiLevelType w:val="hybridMultilevel"/>
    <w:tmpl w:val="3B4C2298"/>
    <w:lvl w:ilvl="0" w:tplc="71C878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5F"/>
    <w:rsid w:val="0001123E"/>
    <w:rsid w:val="000169AB"/>
    <w:rsid w:val="00022F1C"/>
    <w:rsid w:val="00045A47"/>
    <w:rsid w:val="00074912"/>
    <w:rsid w:val="000A136E"/>
    <w:rsid w:val="000A2E1C"/>
    <w:rsid w:val="000A793A"/>
    <w:rsid w:val="000B0920"/>
    <w:rsid w:val="000B44CB"/>
    <w:rsid w:val="000C7BCB"/>
    <w:rsid w:val="000F3C15"/>
    <w:rsid w:val="000F40BB"/>
    <w:rsid w:val="00105022"/>
    <w:rsid w:val="00105622"/>
    <w:rsid w:val="00110CCA"/>
    <w:rsid w:val="00114926"/>
    <w:rsid w:val="001245ED"/>
    <w:rsid w:val="001512A1"/>
    <w:rsid w:val="00161252"/>
    <w:rsid w:val="001646DC"/>
    <w:rsid w:val="00170FDF"/>
    <w:rsid w:val="0018409C"/>
    <w:rsid w:val="001A3595"/>
    <w:rsid w:val="001D79FC"/>
    <w:rsid w:val="001F0E11"/>
    <w:rsid w:val="001F1D90"/>
    <w:rsid w:val="00203E7E"/>
    <w:rsid w:val="0021579E"/>
    <w:rsid w:val="00220ADA"/>
    <w:rsid w:val="00234A6E"/>
    <w:rsid w:val="00240BDC"/>
    <w:rsid w:val="0024345A"/>
    <w:rsid w:val="00273446"/>
    <w:rsid w:val="0028371D"/>
    <w:rsid w:val="00287F33"/>
    <w:rsid w:val="00290A1F"/>
    <w:rsid w:val="002922ED"/>
    <w:rsid w:val="002A21C0"/>
    <w:rsid w:val="002C15C9"/>
    <w:rsid w:val="002C450D"/>
    <w:rsid w:val="002F4A10"/>
    <w:rsid w:val="0032232B"/>
    <w:rsid w:val="003272D7"/>
    <w:rsid w:val="00332559"/>
    <w:rsid w:val="003408CB"/>
    <w:rsid w:val="00343285"/>
    <w:rsid w:val="003445DB"/>
    <w:rsid w:val="00355843"/>
    <w:rsid w:val="00390521"/>
    <w:rsid w:val="003A7832"/>
    <w:rsid w:val="003B0276"/>
    <w:rsid w:val="003F749E"/>
    <w:rsid w:val="004372E0"/>
    <w:rsid w:val="00460101"/>
    <w:rsid w:val="00471F5C"/>
    <w:rsid w:val="00480CB8"/>
    <w:rsid w:val="004B7147"/>
    <w:rsid w:val="004C5219"/>
    <w:rsid w:val="004C7736"/>
    <w:rsid w:val="004D4ECF"/>
    <w:rsid w:val="0050161D"/>
    <w:rsid w:val="005024C9"/>
    <w:rsid w:val="005215A3"/>
    <w:rsid w:val="00535AD1"/>
    <w:rsid w:val="005533A3"/>
    <w:rsid w:val="005661C9"/>
    <w:rsid w:val="00583C53"/>
    <w:rsid w:val="005B53E6"/>
    <w:rsid w:val="005C2B66"/>
    <w:rsid w:val="005D19FC"/>
    <w:rsid w:val="005E110F"/>
    <w:rsid w:val="005E2B81"/>
    <w:rsid w:val="0061022B"/>
    <w:rsid w:val="0066720C"/>
    <w:rsid w:val="00674E3E"/>
    <w:rsid w:val="00690AEC"/>
    <w:rsid w:val="006B1EE0"/>
    <w:rsid w:val="006B65A8"/>
    <w:rsid w:val="00703389"/>
    <w:rsid w:val="00704B8D"/>
    <w:rsid w:val="007133D7"/>
    <w:rsid w:val="00741C43"/>
    <w:rsid w:val="00757012"/>
    <w:rsid w:val="0077655F"/>
    <w:rsid w:val="00780881"/>
    <w:rsid w:val="00796836"/>
    <w:rsid w:val="007B0978"/>
    <w:rsid w:val="007C05AE"/>
    <w:rsid w:val="007C28A7"/>
    <w:rsid w:val="007D2DD3"/>
    <w:rsid w:val="007D31E3"/>
    <w:rsid w:val="007E6331"/>
    <w:rsid w:val="007F4E96"/>
    <w:rsid w:val="00807F9B"/>
    <w:rsid w:val="0081070D"/>
    <w:rsid w:val="0085043F"/>
    <w:rsid w:val="00851B95"/>
    <w:rsid w:val="008571D0"/>
    <w:rsid w:val="00867A44"/>
    <w:rsid w:val="00872CF9"/>
    <w:rsid w:val="00883283"/>
    <w:rsid w:val="0088407F"/>
    <w:rsid w:val="008953BF"/>
    <w:rsid w:val="008A29F6"/>
    <w:rsid w:val="008D2835"/>
    <w:rsid w:val="008E1C36"/>
    <w:rsid w:val="008E5440"/>
    <w:rsid w:val="008F1457"/>
    <w:rsid w:val="00954B7B"/>
    <w:rsid w:val="0098707C"/>
    <w:rsid w:val="009A5635"/>
    <w:rsid w:val="009B77F1"/>
    <w:rsid w:val="009C17CD"/>
    <w:rsid w:val="009D0D27"/>
    <w:rsid w:val="009E668D"/>
    <w:rsid w:val="00A17A82"/>
    <w:rsid w:val="00A5146F"/>
    <w:rsid w:val="00A53A11"/>
    <w:rsid w:val="00A66186"/>
    <w:rsid w:val="00A844A5"/>
    <w:rsid w:val="00A95FD3"/>
    <w:rsid w:val="00AA217D"/>
    <w:rsid w:val="00AB34BA"/>
    <w:rsid w:val="00AB4DCD"/>
    <w:rsid w:val="00AE2ECF"/>
    <w:rsid w:val="00AE6F27"/>
    <w:rsid w:val="00AE7277"/>
    <w:rsid w:val="00AF0D86"/>
    <w:rsid w:val="00B041A6"/>
    <w:rsid w:val="00B155F5"/>
    <w:rsid w:val="00B34651"/>
    <w:rsid w:val="00B47F62"/>
    <w:rsid w:val="00B54D9F"/>
    <w:rsid w:val="00B57224"/>
    <w:rsid w:val="00B574FC"/>
    <w:rsid w:val="00B737D8"/>
    <w:rsid w:val="00B96F65"/>
    <w:rsid w:val="00BB5887"/>
    <w:rsid w:val="00BD7417"/>
    <w:rsid w:val="00BE2332"/>
    <w:rsid w:val="00BE38E2"/>
    <w:rsid w:val="00BF088C"/>
    <w:rsid w:val="00BF4BE9"/>
    <w:rsid w:val="00C15A0D"/>
    <w:rsid w:val="00C213EB"/>
    <w:rsid w:val="00C2244C"/>
    <w:rsid w:val="00C27F32"/>
    <w:rsid w:val="00C431B0"/>
    <w:rsid w:val="00CA256F"/>
    <w:rsid w:val="00CC2D22"/>
    <w:rsid w:val="00CE7834"/>
    <w:rsid w:val="00CE783B"/>
    <w:rsid w:val="00CF43B2"/>
    <w:rsid w:val="00D07032"/>
    <w:rsid w:val="00D14A1B"/>
    <w:rsid w:val="00D55382"/>
    <w:rsid w:val="00D55676"/>
    <w:rsid w:val="00DB7BBB"/>
    <w:rsid w:val="00DC722C"/>
    <w:rsid w:val="00DF0D50"/>
    <w:rsid w:val="00DF12EB"/>
    <w:rsid w:val="00E01E46"/>
    <w:rsid w:val="00E14C90"/>
    <w:rsid w:val="00E24254"/>
    <w:rsid w:val="00E32274"/>
    <w:rsid w:val="00E43F52"/>
    <w:rsid w:val="00E57642"/>
    <w:rsid w:val="00E72397"/>
    <w:rsid w:val="00EB1256"/>
    <w:rsid w:val="00EC5A52"/>
    <w:rsid w:val="00EF678B"/>
    <w:rsid w:val="00EF6EC6"/>
    <w:rsid w:val="00F203EE"/>
    <w:rsid w:val="00F24568"/>
    <w:rsid w:val="00F27606"/>
    <w:rsid w:val="00F404FB"/>
    <w:rsid w:val="00F439C4"/>
    <w:rsid w:val="00F573DC"/>
    <w:rsid w:val="00F707D0"/>
    <w:rsid w:val="00F83EB9"/>
    <w:rsid w:val="00FA1F03"/>
    <w:rsid w:val="00FC764F"/>
    <w:rsid w:val="00FD0BAC"/>
    <w:rsid w:val="00FE0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840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8407F"/>
    <w:rPr>
      <w:color w:val="0000FF"/>
      <w:u w:val="single"/>
    </w:rPr>
  </w:style>
  <w:style w:type="character" w:styleId="Pogrubienie">
    <w:name w:val="Strong"/>
    <w:basedOn w:val="Domylnaczcionkaakapitu"/>
    <w:uiPriority w:val="22"/>
    <w:qFormat/>
    <w:rsid w:val="0088407F"/>
    <w:rPr>
      <w:b/>
      <w:bCs/>
    </w:rPr>
  </w:style>
  <w:style w:type="paragraph" w:styleId="Tekstdymka">
    <w:name w:val="Balloon Text"/>
    <w:basedOn w:val="Normalny"/>
    <w:link w:val="TekstdymkaZnak"/>
    <w:uiPriority w:val="99"/>
    <w:semiHidden/>
    <w:unhideWhenUsed/>
    <w:rsid w:val="008840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07F"/>
    <w:rPr>
      <w:rFonts w:ascii="Tahoma" w:hAnsi="Tahoma" w:cs="Tahoma"/>
      <w:sz w:val="16"/>
      <w:szCs w:val="16"/>
    </w:rPr>
  </w:style>
  <w:style w:type="paragraph" w:styleId="Akapitzlist">
    <w:name w:val="List Paragraph"/>
    <w:basedOn w:val="Normalny"/>
    <w:uiPriority w:val="34"/>
    <w:qFormat/>
    <w:rsid w:val="00220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840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8407F"/>
    <w:rPr>
      <w:color w:val="0000FF"/>
      <w:u w:val="single"/>
    </w:rPr>
  </w:style>
  <w:style w:type="character" w:styleId="Pogrubienie">
    <w:name w:val="Strong"/>
    <w:basedOn w:val="Domylnaczcionkaakapitu"/>
    <w:uiPriority w:val="22"/>
    <w:qFormat/>
    <w:rsid w:val="0088407F"/>
    <w:rPr>
      <w:b/>
      <w:bCs/>
    </w:rPr>
  </w:style>
  <w:style w:type="paragraph" w:styleId="Tekstdymka">
    <w:name w:val="Balloon Text"/>
    <w:basedOn w:val="Normalny"/>
    <w:link w:val="TekstdymkaZnak"/>
    <w:uiPriority w:val="99"/>
    <w:semiHidden/>
    <w:unhideWhenUsed/>
    <w:rsid w:val="008840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07F"/>
    <w:rPr>
      <w:rFonts w:ascii="Tahoma" w:hAnsi="Tahoma" w:cs="Tahoma"/>
      <w:sz w:val="16"/>
      <w:szCs w:val="16"/>
    </w:rPr>
  </w:style>
  <w:style w:type="paragraph" w:styleId="Akapitzlist">
    <w:name w:val="List Paragraph"/>
    <w:basedOn w:val="Normalny"/>
    <w:uiPriority w:val="34"/>
    <w:qFormat/>
    <w:rsid w:val="0022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1591</Words>
  <Characters>9548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jskala</cp:lastModifiedBy>
  <cp:revision>9</cp:revision>
  <dcterms:created xsi:type="dcterms:W3CDTF">2014-08-19T14:15:00Z</dcterms:created>
  <dcterms:modified xsi:type="dcterms:W3CDTF">2014-08-19T18:10:00Z</dcterms:modified>
</cp:coreProperties>
</file>