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FC5" w:rsidRPr="009D08BE" w:rsidRDefault="00023CF5" w:rsidP="009D08BE">
      <w:pPr>
        <w:spacing w:line="360" w:lineRule="auto"/>
        <w:ind w:left="4956"/>
        <w:jc w:val="both"/>
        <w:rPr>
          <w:rFonts w:ascii="Bookman Old Style" w:hAnsi="Bookman Old Style"/>
          <w:sz w:val="24"/>
          <w:szCs w:val="24"/>
        </w:rPr>
      </w:pPr>
      <w:r>
        <w:rPr>
          <w:rFonts w:ascii="Bookman Old Style" w:hAnsi="Bookman Old Style"/>
          <w:sz w:val="24"/>
          <w:szCs w:val="24"/>
        </w:rPr>
        <w:t>Katowice, dnia 26</w:t>
      </w:r>
      <w:r w:rsidR="00FA4FC5" w:rsidRPr="009D08BE">
        <w:rPr>
          <w:rFonts w:ascii="Bookman Old Style" w:hAnsi="Bookman Old Style"/>
          <w:sz w:val="24"/>
          <w:szCs w:val="24"/>
        </w:rPr>
        <w:t xml:space="preserve"> czerwca 2015 r.</w:t>
      </w:r>
    </w:p>
    <w:p w:rsidR="00FA4FC5" w:rsidRPr="009D08BE" w:rsidRDefault="00FA4FC5" w:rsidP="009D08BE">
      <w:pPr>
        <w:spacing w:line="360" w:lineRule="auto"/>
        <w:jc w:val="both"/>
        <w:rPr>
          <w:rFonts w:ascii="Bookman Old Style" w:hAnsi="Bookman Old Style"/>
          <w:b/>
          <w:sz w:val="24"/>
          <w:szCs w:val="24"/>
        </w:rPr>
      </w:pPr>
    </w:p>
    <w:p w:rsidR="009A48F3" w:rsidRPr="009D08BE" w:rsidRDefault="00FA4FC5" w:rsidP="009D08BE">
      <w:pPr>
        <w:spacing w:line="360" w:lineRule="auto"/>
        <w:jc w:val="center"/>
        <w:rPr>
          <w:rFonts w:ascii="Bookman Old Style" w:hAnsi="Bookman Old Style"/>
          <w:b/>
          <w:sz w:val="24"/>
          <w:szCs w:val="24"/>
        </w:rPr>
      </w:pPr>
      <w:r w:rsidRPr="009D08BE">
        <w:rPr>
          <w:rFonts w:ascii="Bookman Old Style" w:hAnsi="Bookman Old Style"/>
          <w:b/>
          <w:sz w:val="24"/>
          <w:szCs w:val="24"/>
        </w:rPr>
        <w:t>RAPORT O STANIE PRZYGOTOWANIA PAŃSTWA DO KONTRADYKTORYJNEGO</w:t>
      </w:r>
      <w:r w:rsidR="007268ED" w:rsidRPr="009D08BE">
        <w:rPr>
          <w:rFonts w:ascii="Bookman Old Style" w:hAnsi="Bookman Old Style"/>
          <w:b/>
          <w:sz w:val="24"/>
          <w:szCs w:val="24"/>
        </w:rPr>
        <w:t xml:space="preserve"> PROCESU KARNEGO 1 LIPCA 2015 r.</w:t>
      </w:r>
    </w:p>
    <w:p w:rsidR="00FA4FC5" w:rsidRPr="009D08BE" w:rsidRDefault="00FA4FC5" w:rsidP="009D08BE">
      <w:pPr>
        <w:spacing w:line="360" w:lineRule="auto"/>
        <w:jc w:val="both"/>
        <w:rPr>
          <w:rFonts w:ascii="Bookman Old Style" w:hAnsi="Bookman Old Style"/>
          <w:b/>
          <w:sz w:val="24"/>
          <w:szCs w:val="24"/>
        </w:rPr>
      </w:pPr>
    </w:p>
    <w:p w:rsidR="005765B5" w:rsidRPr="009D08BE" w:rsidRDefault="005765B5" w:rsidP="009D08BE">
      <w:pPr>
        <w:spacing w:line="360" w:lineRule="auto"/>
        <w:jc w:val="both"/>
        <w:rPr>
          <w:rFonts w:ascii="Bookman Old Style" w:hAnsi="Bookman Old Style"/>
          <w:b/>
          <w:sz w:val="24"/>
          <w:szCs w:val="24"/>
        </w:rPr>
      </w:pPr>
    </w:p>
    <w:p w:rsidR="005765B5" w:rsidRPr="009D08BE" w:rsidRDefault="005765B5" w:rsidP="009D08BE">
      <w:pPr>
        <w:pStyle w:val="Akapitzlist"/>
        <w:numPr>
          <w:ilvl w:val="0"/>
          <w:numId w:val="1"/>
        </w:numPr>
        <w:spacing w:line="360" w:lineRule="auto"/>
        <w:jc w:val="both"/>
        <w:rPr>
          <w:rFonts w:ascii="Bookman Old Style" w:hAnsi="Bookman Old Style"/>
          <w:b/>
          <w:sz w:val="24"/>
          <w:szCs w:val="24"/>
        </w:rPr>
      </w:pPr>
      <w:r w:rsidRPr="009D08BE">
        <w:rPr>
          <w:rFonts w:ascii="Bookman Old Style" w:hAnsi="Bookman Old Style"/>
          <w:b/>
          <w:sz w:val="24"/>
          <w:szCs w:val="24"/>
        </w:rPr>
        <w:t>Uwagi ogólne.</w:t>
      </w:r>
    </w:p>
    <w:p w:rsidR="003A2BED" w:rsidRPr="009D08BE" w:rsidRDefault="00FA4FC5" w:rsidP="009D08BE">
      <w:pPr>
        <w:spacing w:line="360" w:lineRule="auto"/>
        <w:jc w:val="both"/>
        <w:rPr>
          <w:rFonts w:ascii="Bookman Old Style" w:hAnsi="Bookman Old Style"/>
          <w:sz w:val="24"/>
          <w:szCs w:val="24"/>
        </w:rPr>
      </w:pPr>
      <w:r w:rsidRPr="009D08BE">
        <w:rPr>
          <w:rFonts w:ascii="Bookman Old Style" w:hAnsi="Bookman Old Style"/>
          <w:sz w:val="24"/>
          <w:szCs w:val="24"/>
        </w:rPr>
        <w:t xml:space="preserve">Uchwałą z dnia 22 kwietnia 2014 r. Rada Główna Związku Zawodowego Prokuratorów i Pracowników Prokuratury RP zaapelowała do podmiotów dysponujących inicjatywą ustawodawczą o wydłużenie vacatio legis dla </w:t>
      </w:r>
      <w:r w:rsidRPr="009D08BE">
        <w:rPr>
          <w:rFonts w:ascii="Bookman Old Style" w:hAnsi="Bookman Old Style"/>
          <w:sz w:val="24"/>
          <w:szCs w:val="24"/>
        </w:rPr>
        <w:t xml:space="preserve">ustawy z dnia 27 września 2013 r. </w:t>
      </w:r>
      <w:r w:rsidR="006C3C72" w:rsidRPr="009D08BE">
        <w:rPr>
          <w:rFonts w:ascii="Bookman Old Style" w:hAnsi="Bookman Old Style"/>
          <w:sz w:val="24"/>
          <w:szCs w:val="24"/>
        </w:rPr>
        <w:t>o zmianie ustawy K</w:t>
      </w:r>
      <w:r w:rsidRPr="009D08BE">
        <w:rPr>
          <w:rFonts w:ascii="Bookman Old Style" w:hAnsi="Bookman Old Style"/>
          <w:sz w:val="24"/>
          <w:szCs w:val="24"/>
        </w:rPr>
        <w:t>odeks postępowania karnego</w:t>
      </w:r>
      <w:r w:rsidRPr="009D08BE">
        <w:rPr>
          <w:rFonts w:ascii="Bookman Old Style" w:hAnsi="Bookman Old Style"/>
          <w:sz w:val="24"/>
          <w:szCs w:val="24"/>
        </w:rPr>
        <w:t xml:space="preserve">, wprowadzającej nowy, kontradyktoryjny model procesu karnego, która wchodzi w życie z dniem 1 lipca 2015 r. </w:t>
      </w:r>
    </w:p>
    <w:p w:rsidR="00FA4FC5" w:rsidRPr="009D08BE" w:rsidRDefault="003A2BED" w:rsidP="009D08BE">
      <w:pPr>
        <w:spacing w:line="360" w:lineRule="auto"/>
        <w:jc w:val="both"/>
        <w:rPr>
          <w:rFonts w:ascii="Bookman Old Style" w:hAnsi="Bookman Old Style"/>
          <w:sz w:val="24"/>
          <w:szCs w:val="24"/>
        </w:rPr>
      </w:pPr>
      <w:r w:rsidRPr="009D08BE">
        <w:rPr>
          <w:rFonts w:ascii="Bookman Old Style" w:hAnsi="Bookman Old Style"/>
          <w:sz w:val="24"/>
          <w:szCs w:val="24"/>
        </w:rPr>
        <w:t>W przeciągu</w:t>
      </w:r>
      <w:r w:rsidR="00FA4FC5" w:rsidRPr="009D08BE">
        <w:rPr>
          <w:rFonts w:ascii="Bookman Old Style" w:hAnsi="Bookman Old Style"/>
          <w:sz w:val="24"/>
          <w:szCs w:val="24"/>
        </w:rPr>
        <w:t xml:space="preserve"> ostatnich kilkunastu miesięcy postulat Rady Głównej popierali kolejno Prokurator Generalny, Krajowa Rada Prokuratury, liczni przedst</w:t>
      </w:r>
      <w:r w:rsidR="006C3C72" w:rsidRPr="009D08BE">
        <w:rPr>
          <w:rFonts w:ascii="Bookman Old Style" w:hAnsi="Bookman Old Style"/>
          <w:sz w:val="24"/>
          <w:szCs w:val="24"/>
        </w:rPr>
        <w:t xml:space="preserve">awiciele świata nauki, </w:t>
      </w:r>
      <w:r w:rsidR="00FA4FC5" w:rsidRPr="009D08BE">
        <w:rPr>
          <w:rFonts w:ascii="Bookman Old Style" w:hAnsi="Bookman Old Style"/>
          <w:sz w:val="24"/>
          <w:szCs w:val="24"/>
        </w:rPr>
        <w:t xml:space="preserve">środowiska adwokackie oraz związane </w:t>
      </w:r>
      <w:r w:rsidR="00F4213D">
        <w:rPr>
          <w:rFonts w:ascii="Bookman Old Style" w:hAnsi="Bookman Old Style"/>
          <w:sz w:val="24"/>
          <w:szCs w:val="24"/>
        </w:rPr>
        <w:br/>
      </w:r>
      <w:r w:rsidR="00FA4FC5" w:rsidRPr="009D08BE">
        <w:rPr>
          <w:rFonts w:ascii="Bookman Old Style" w:hAnsi="Bookman Old Style"/>
          <w:sz w:val="24"/>
          <w:szCs w:val="24"/>
        </w:rPr>
        <w:t>z ruchami obronny praw człowieka. Apele te nie zostały wysłuchane pomimo, iż wskazywały</w:t>
      </w:r>
      <w:r w:rsidR="006C3C72" w:rsidRPr="009D08BE">
        <w:rPr>
          <w:rFonts w:ascii="Bookman Old Style" w:hAnsi="Bookman Old Style"/>
          <w:sz w:val="24"/>
          <w:szCs w:val="24"/>
        </w:rPr>
        <w:t xml:space="preserve"> obszary</w:t>
      </w:r>
      <w:r w:rsidR="00FA4FC5" w:rsidRPr="009D08BE">
        <w:rPr>
          <w:rFonts w:ascii="Bookman Old Style" w:hAnsi="Bookman Old Style"/>
          <w:sz w:val="24"/>
          <w:szCs w:val="24"/>
        </w:rPr>
        <w:t xml:space="preserve">, w których aparat sprawiedliwości i organów ochrony prawa nie jest przygotowany do sprostania wymogom kontradyktoryjnej procedury karnej, co w konsekwencji rodzi liczne zagrożenia dla bezpieczeństwa prawnego Państwa i Obywateli. </w:t>
      </w:r>
    </w:p>
    <w:p w:rsidR="005765B5" w:rsidRPr="009D08BE" w:rsidRDefault="003A2BED" w:rsidP="009D08BE">
      <w:pPr>
        <w:spacing w:line="360" w:lineRule="auto"/>
        <w:jc w:val="both"/>
        <w:rPr>
          <w:rFonts w:ascii="Bookman Old Style" w:hAnsi="Bookman Old Style"/>
          <w:sz w:val="24"/>
          <w:szCs w:val="24"/>
        </w:rPr>
      </w:pPr>
      <w:r w:rsidRPr="009D08BE">
        <w:rPr>
          <w:rFonts w:ascii="Bookman Old Style" w:hAnsi="Bookman Old Style"/>
          <w:sz w:val="24"/>
          <w:szCs w:val="24"/>
        </w:rPr>
        <w:t xml:space="preserve">Związek Zawodowy Prokuratorów i Pracowników Prokuratury RP, jako największa organizacja przedstawicielska działająca w prokuraturze powszechnej wielokrotnie </w:t>
      </w:r>
      <w:r w:rsidR="005765B5" w:rsidRPr="009D08BE">
        <w:rPr>
          <w:rFonts w:ascii="Bookman Old Style" w:hAnsi="Bookman Old Style"/>
          <w:sz w:val="24"/>
          <w:szCs w:val="24"/>
        </w:rPr>
        <w:t>wskazywał, iż uchwalone przepisy</w:t>
      </w:r>
      <w:r w:rsidRPr="009D08BE">
        <w:rPr>
          <w:rFonts w:ascii="Bookman Old Style" w:hAnsi="Bookman Old Style"/>
          <w:sz w:val="24"/>
          <w:szCs w:val="24"/>
        </w:rPr>
        <w:t xml:space="preserve"> spowodują wydłużenie i zwiększenie kosztów procesu, wbrew deklaracjom politycznym zapowiadającym skrócenie postępowań karnych o 1/3. Wskazywał jednocześnie, że w wyniku dopuszczenia dowodu z opinii prywatnej uprzywilejowana pozycję na sadowej sali zyskają obywatele znajdujący się </w:t>
      </w:r>
      <w:r w:rsidR="008A4D90">
        <w:rPr>
          <w:rFonts w:ascii="Bookman Old Style" w:hAnsi="Bookman Old Style"/>
          <w:sz w:val="24"/>
          <w:szCs w:val="24"/>
        </w:rPr>
        <w:br/>
      </w:r>
      <w:r w:rsidRPr="009D08BE">
        <w:rPr>
          <w:rFonts w:ascii="Bookman Old Style" w:hAnsi="Bookman Old Style"/>
          <w:sz w:val="24"/>
          <w:szCs w:val="24"/>
        </w:rPr>
        <w:t xml:space="preserve">w bardzo dobrej sytuacji majątkowej. Obecnie za bezwzględnie konieczne </w:t>
      </w:r>
      <w:r w:rsidRPr="009D08BE">
        <w:rPr>
          <w:rFonts w:ascii="Bookman Old Style" w:hAnsi="Bookman Old Style"/>
          <w:sz w:val="24"/>
          <w:szCs w:val="24"/>
        </w:rPr>
        <w:lastRenderedPageBreak/>
        <w:t xml:space="preserve">uznać należy syntetyczne wskazanie </w:t>
      </w:r>
      <w:r w:rsidR="00FD5496" w:rsidRPr="009D08BE">
        <w:rPr>
          <w:rFonts w:ascii="Bookman Old Style" w:hAnsi="Bookman Old Style"/>
          <w:sz w:val="24"/>
          <w:szCs w:val="24"/>
        </w:rPr>
        <w:t>obszarów</w:t>
      </w:r>
      <w:r w:rsidRPr="009D08BE">
        <w:rPr>
          <w:rFonts w:ascii="Bookman Old Style" w:hAnsi="Bookman Old Style"/>
          <w:sz w:val="24"/>
          <w:szCs w:val="24"/>
        </w:rPr>
        <w:t>, w których widoczne jest nieprzygotowanie struktur Państwa do sprostania wymogom nowej procedury karnej i określenie podmiotów odpowi</w:t>
      </w:r>
      <w:r w:rsidR="005765B5" w:rsidRPr="009D08BE">
        <w:rPr>
          <w:rFonts w:ascii="Bookman Old Style" w:hAnsi="Bookman Old Style"/>
          <w:sz w:val="24"/>
          <w:szCs w:val="24"/>
        </w:rPr>
        <w:t>edzialnych za taki stan rzeczy.</w:t>
      </w:r>
    </w:p>
    <w:p w:rsidR="005765B5" w:rsidRPr="009D08BE" w:rsidRDefault="005765B5" w:rsidP="009D08BE">
      <w:pPr>
        <w:spacing w:line="360" w:lineRule="auto"/>
        <w:jc w:val="both"/>
        <w:rPr>
          <w:rFonts w:ascii="Bookman Old Style" w:hAnsi="Bookman Old Style"/>
          <w:sz w:val="24"/>
          <w:szCs w:val="24"/>
        </w:rPr>
      </w:pPr>
    </w:p>
    <w:p w:rsidR="005765B5" w:rsidRPr="009D08BE" w:rsidRDefault="005765B5" w:rsidP="009D08BE">
      <w:pPr>
        <w:pStyle w:val="Akapitzlist"/>
        <w:numPr>
          <w:ilvl w:val="0"/>
          <w:numId w:val="2"/>
        </w:numPr>
        <w:spacing w:line="360" w:lineRule="auto"/>
        <w:jc w:val="both"/>
        <w:rPr>
          <w:rFonts w:ascii="Bookman Old Style" w:hAnsi="Bookman Old Style"/>
          <w:b/>
          <w:sz w:val="24"/>
          <w:szCs w:val="24"/>
        </w:rPr>
      </w:pPr>
      <w:r w:rsidRPr="009D08BE">
        <w:rPr>
          <w:rFonts w:ascii="Bookman Old Style" w:hAnsi="Bookman Old Style"/>
          <w:b/>
          <w:sz w:val="24"/>
          <w:szCs w:val="24"/>
        </w:rPr>
        <w:t>Minister Finansów</w:t>
      </w:r>
      <w:r w:rsidR="00D14213" w:rsidRPr="009D08BE">
        <w:rPr>
          <w:rFonts w:ascii="Bookman Old Style" w:hAnsi="Bookman Old Style"/>
          <w:b/>
          <w:sz w:val="24"/>
          <w:szCs w:val="24"/>
        </w:rPr>
        <w:t xml:space="preserve"> – brak platformy elektronicznej do uzyskiwania danych o sytuacji majątkowej oskarżonego. </w:t>
      </w:r>
    </w:p>
    <w:p w:rsidR="008119DA" w:rsidRPr="009D08BE" w:rsidRDefault="005765B5" w:rsidP="009D08BE">
      <w:pPr>
        <w:spacing w:line="360" w:lineRule="auto"/>
        <w:jc w:val="both"/>
        <w:rPr>
          <w:rFonts w:ascii="Bookman Old Style" w:hAnsi="Bookman Old Style"/>
          <w:sz w:val="24"/>
          <w:szCs w:val="24"/>
        </w:rPr>
      </w:pPr>
      <w:r w:rsidRPr="009D08BE">
        <w:rPr>
          <w:rFonts w:ascii="Bookman Old Style" w:hAnsi="Bookman Old Style"/>
          <w:sz w:val="24"/>
          <w:szCs w:val="24"/>
        </w:rPr>
        <w:t xml:space="preserve">Począwszy od 1 lipca 2015 r. prokurator będzie zobowiązany dołączać do każdego aktu oskarżenia informacje o stanie majątkowym oskarżonego pochodzącą </w:t>
      </w:r>
      <w:r w:rsidR="00FD5496" w:rsidRPr="009D08BE">
        <w:rPr>
          <w:rFonts w:ascii="Bookman Old Style" w:hAnsi="Bookman Old Style"/>
          <w:sz w:val="24"/>
          <w:szCs w:val="24"/>
        </w:rPr>
        <w:t>ze systemu</w:t>
      </w:r>
      <w:r w:rsidRPr="009D08BE">
        <w:rPr>
          <w:rFonts w:ascii="Bookman Old Style" w:hAnsi="Bookman Old Style"/>
          <w:sz w:val="24"/>
          <w:szCs w:val="24"/>
        </w:rPr>
        <w:t xml:space="preserve"> teleinformatycznego Ministra Finansów nie starszą niż sprzed 30</w:t>
      </w:r>
      <w:r w:rsidR="009D74A2" w:rsidRPr="009D08BE">
        <w:rPr>
          <w:rFonts w:ascii="Bookman Old Style" w:hAnsi="Bookman Old Style"/>
          <w:sz w:val="24"/>
          <w:szCs w:val="24"/>
        </w:rPr>
        <w:t xml:space="preserve"> dni w chwili kierowania skargi (art. 213 § 1 a </w:t>
      </w:r>
      <w:proofErr w:type="spellStart"/>
      <w:r w:rsidR="009D74A2" w:rsidRPr="009D08BE">
        <w:rPr>
          <w:rFonts w:ascii="Bookman Old Style" w:hAnsi="Bookman Old Style"/>
          <w:sz w:val="24"/>
          <w:szCs w:val="24"/>
        </w:rPr>
        <w:t>kpk</w:t>
      </w:r>
      <w:proofErr w:type="spellEnd"/>
      <w:r w:rsidR="009D74A2" w:rsidRPr="009D08BE">
        <w:rPr>
          <w:rFonts w:ascii="Bookman Old Style" w:hAnsi="Bookman Old Style"/>
          <w:sz w:val="24"/>
          <w:szCs w:val="24"/>
        </w:rPr>
        <w:t>). Bra</w:t>
      </w:r>
      <w:r w:rsidRPr="009D08BE">
        <w:rPr>
          <w:rFonts w:ascii="Bookman Old Style" w:hAnsi="Bookman Old Style"/>
          <w:sz w:val="24"/>
          <w:szCs w:val="24"/>
        </w:rPr>
        <w:t>k t</w:t>
      </w:r>
      <w:r w:rsidR="009D74A2" w:rsidRPr="009D08BE">
        <w:rPr>
          <w:rFonts w:ascii="Bookman Old Style" w:hAnsi="Bookman Old Style"/>
          <w:sz w:val="24"/>
          <w:szCs w:val="24"/>
        </w:rPr>
        <w:t xml:space="preserve">akiej informacji uniemożliwi kierowanie do sądów powszechnych aktów oskarżenia. Z kolei wystąpienie z takim aktem oskarżenia, wbrew przepisom, bez wymaganej informacji skutkować będzie obligatoryjnym zwrotem sprawy w celu uzupełnienia braków formalnych aktu oskarżenia. </w:t>
      </w:r>
      <w:r w:rsidR="006C3C72" w:rsidRPr="009D08BE">
        <w:rPr>
          <w:rFonts w:ascii="Bookman Old Style" w:hAnsi="Bookman Old Style"/>
          <w:sz w:val="24"/>
          <w:szCs w:val="24"/>
        </w:rPr>
        <w:t>Stosowne Rozporządzenie opublikowano dopiero w dniu 22 czerwca 2015 r. Projekt tego rozporządzenia nie przeszedł procedury konsultacji społecznych. Pomimo opublikowania Rozporządzenia w</w:t>
      </w:r>
      <w:r w:rsidR="00FD5496" w:rsidRPr="009D08BE">
        <w:rPr>
          <w:rFonts w:ascii="Bookman Old Style" w:hAnsi="Bookman Old Style"/>
          <w:sz w:val="24"/>
          <w:szCs w:val="24"/>
        </w:rPr>
        <w:t xml:space="preserve"> prokuraturach brak jest systemu</w:t>
      </w:r>
      <w:r w:rsidR="009D74A2" w:rsidRPr="009D08BE">
        <w:rPr>
          <w:rFonts w:ascii="Bookman Old Style" w:hAnsi="Bookman Old Style"/>
          <w:sz w:val="24"/>
          <w:szCs w:val="24"/>
        </w:rPr>
        <w:t xml:space="preserve"> elektronicznego zapewniającego dostęp do informacji w trybie art. 213 § 1a </w:t>
      </w:r>
      <w:proofErr w:type="spellStart"/>
      <w:r w:rsidR="009D74A2" w:rsidRPr="009D08BE">
        <w:rPr>
          <w:rFonts w:ascii="Bookman Old Style" w:hAnsi="Bookman Old Style"/>
          <w:sz w:val="24"/>
          <w:szCs w:val="24"/>
        </w:rPr>
        <w:t>kpk</w:t>
      </w:r>
      <w:proofErr w:type="spellEnd"/>
      <w:r w:rsidR="009D74A2" w:rsidRPr="009D08BE">
        <w:rPr>
          <w:rFonts w:ascii="Bookman Old Style" w:hAnsi="Bookman Old Style"/>
          <w:sz w:val="24"/>
          <w:szCs w:val="24"/>
        </w:rPr>
        <w:t xml:space="preserve">. Jak zapewnia Ministerstwo Finansów, w chwili obecnej trwają dopiero testy aplikacji dostępowej pomiędzy administracją finansową, </w:t>
      </w:r>
      <w:r w:rsidR="00F4213D">
        <w:rPr>
          <w:rFonts w:ascii="Bookman Old Style" w:hAnsi="Bookman Old Style"/>
          <w:sz w:val="24"/>
          <w:szCs w:val="24"/>
        </w:rPr>
        <w:br/>
      </w:r>
      <w:r w:rsidR="009D74A2" w:rsidRPr="009D08BE">
        <w:rPr>
          <w:rFonts w:ascii="Bookman Old Style" w:hAnsi="Bookman Old Style"/>
          <w:sz w:val="24"/>
          <w:szCs w:val="24"/>
        </w:rPr>
        <w:t xml:space="preserve">a Ministerstwem Sprawiedliwości. </w:t>
      </w:r>
      <w:r w:rsidR="008119DA" w:rsidRPr="009D08BE">
        <w:rPr>
          <w:rFonts w:ascii="Bookman Old Style" w:hAnsi="Bookman Old Style"/>
          <w:sz w:val="24"/>
          <w:szCs w:val="24"/>
        </w:rPr>
        <w:t>W rezultacie p</w:t>
      </w:r>
      <w:r w:rsidR="009D74A2" w:rsidRPr="009D08BE">
        <w:rPr>
          <w:rFonts w:ascii="Bookman Old Style" w:hAnsi="Bookman Old Style"/>
          <w:sz w:val="24"/>
          <w:szCs w:val="24"/>
        </w:rPr>
        <w:t>o 1 lipca 2015 r. prokuratura nie będzie mogła kierować do sądów powszechnych aktów oskarżenia.</w:t>
      </w:r>
      <w:r w:rsidR="006C3C72" w:rsidRPr="009D08BE">
        <w:rPr>
          <w:rFonts w:ascii="Bookman Old Style" w:hAnsi="Bookman Old Style"/>
          <w:sz w:val="24"/>
          <w:szCs w:val="24"/>
        </w:rPr>
        <w:t xml:space="preserve"> </w:t>
      </w:r>
      <w:r w:rsidR="008119DA" w:rsidRPr="009D08BE">
        <w:rPr>
          <w:rFonts w:ascii="Bookman Old Style" w:hAnsi="Bookman Old Style"/>
          <w:sz w:val="24"/>
          <w:szCs w:val="24"/>
        </w:rPr>
        <w:t>Oznacza to paraliż prowadzen</w:t>
      </w:r>
      <w:r w:rsidR="006C3C72" w:rsidRPr="009D08BE">
        <w:rPr>
          <w:rFonts w:ascii="Bookman Old Style" w:hAnsi="Bookman Old Style"/>
          <w:sz w:val="24"/>
          <w:szCs w:val="24"/>
        </w:rPr>
        <w:t xml:space="preserve">ia postępowań przygotowawczych. </w:t>
      </w:r>
    </w:p>
    <w:p w:rsidR="00B64523" w:rsidRPr="009D08BE" w:rsidRDefault="00B64523" w:rsidP="009D08BE">
      <w:pPr>
        <w:spacing w:line="360" w:lineRule="auto"/>
        <w:jc w:val="both"/>
        <w:rPr>
          <w:rFonts w:ascii="Bookman Old Style" w:hAnsi="Bookman Old Style"/>
          <w:sz w:val="24"/>
          <w:szCs w:val="24"/>
        </w:rPr>
      </w:pPr>
      <w:r w:rsidRPr="009D08BE">
        <w:rPr>
          <w:rFonts w:ascii="Bookman Old Style" w:hAnsi="Bookman Old Style"/>
          <w:sz w:val="24"/>
          <w:szCs w:val="24"/>
        </w:rPr>
        <w:t xml:space="preserve">Ministerstwo Finansów nie dysponuje wystarczającym budżetem na pokrycie kosztów związanych z wprowadzaną 1 lipca 2015 instytucją obrońcy </w:t>
      </w:r>
      <w:r w:rsidR="00F4213D">
        <w:rPr>
          <w:rFonts w:ascii="Bookman Old Style" w:hAnsi="Bookman Old Style"/>
          <w:sz w:val="24"/>
          <w:szCs w:val="24"/>
        </w:rPr>
        <w:br/>
      </w:r>
      <w:r w:rsidRPr="009D08BE">
        <w:rPr>
          <w:rFonts w:ascii="Bookman Old Style" w:hAnsi="Bookman Old Style"/>
          <w:sz w:val="24"/>
          <w:szCs w:val="24"/>
        </w:rPr>
        <w:t xml:space="preserve">z urzędu na wniosek każdego oskarżonego i koszt Skarbu Państwa. </w:t>
      </w:r>
      <w:r w:rsidR="00F4213D">
        <w:rPr>
          <w:rFonts w:ascii="Bookman Old Style" w:hAnsi="Bookman Old Style"/>
          <w:sz w:val="24"/>
          <w:szCs w:val="24"/>
        </w:rPr>
        <w:br/>
      </w:r>
      <w:r w:rsidRPr="009D08BE">
        <w:rPr>
          <w:rFonts w:ascii="Bookman Old Style" w:hAnsi="Bookman Old Style"/>
          <w:sz w:val="24"/>
          <w:szCs w:val="24"/>
        </w:rPr>
        <w:t xml:space="preserve">W szczególności nie oszacowano </w:t>
      </w:r>
      <w:proofErr w:type="spellStart"/>
      <w:r w:rsidRPr="009D08BE">
        <w:rPr>
          <w:rFonts w:ascii="Bookman Old Style" w:hAnsi="Bookman Old Style"/>
          <w:sz w:val="24"/>
          <w:szCs w:val="24"/>
        </w:rPr>
        <w:t>ryzyk</w:t>
      </w:r>
      <w:proofErr w:type="spellEnd"/>
      <w:r w:rsidRPr="009D08BE">
        <w:rPr>
          <w:rFonts w:ascii="Bookman Old Style" w:hAnsi="Bookman Old Style"/>
          <w:sz w:val="24"/>
          <w:szCs w:val="24"/>
        </w:rPr>
        <w:t xml:space="preserve"> związanych z tzw. „stopą zwrotu” </w:t>
      </w:r>
      <w:r w:rsidR="00F4213D">
        <w:rPr>
          <w:rFonts w:ascii="Bookman Old Style" w:hAnsi="Bookman Old Style"/>
          <w:sz w:val="24"/>
          <w:szCs w:val="24"/>
        </w:rPr>
        <w:br/>
      </w:r>
      <w:r w:rsidRPr="009D08BE">
        <w:rPr>
          <w:rFonts w:ascii="Bookman Old Style" w:hAnsi="Bookman Old Style"/>
          <w:sz w:val="24"/>
          <w:szCs w:val="24"/>
        </w:rPr>
        <w:t>w przypadku skazania osoby oskarżonej</w:t>
      </w:r>
      <w:r w:rsidR="006C3C72" w:rsidRPr="009D08BE">
        <w:rPr>
          <w:rFonts w:ascii="Bookman Old Style" w:hAnsi="Bookman Old Style"/>
          <w:sz w:val="24"/>
          <w:szCs w:val="24"/>
        </w:rPr>
        <w:t>,</w:t>
      </w:r>
      <w:r w:rsidRPr="009D08BE">
        <w:rPr>
          <w:rFonts w:ascii="Bookman Old Style" w:hAnsi="Bookman Old Style"/>
          <w:sz w:val="24"/>
          <w:szCs w:val="24"/>
        </w:rPr>
        <w:t xml:space="preserve"> optymistycznie zakładając, iż </w:t>
      </w:r>
      <w:r w:rsidR="00F4213D">
        <w:rPr>
          <w:rFonts w:ascii="Bookman Old Style" w:hAnsi="Bookman Old Style"/>
          <w:sz w:val="24"/>
          <w:szCs w:val="24"/>
        </w:rPr>
        <w:br/>
      </w:r>
      <w:r w:rsidRPr="009D08BE">
        <w:rPr>
          <w:rFonts w:ascii="Bookman Old Style" w:hAnsi="Bookman Old Style"/>
          <w:sz w:val="24"/>
          <w:szCs w:val="24"/>
        </w:rPr>
        <w:t xml:space="preserve">w każdym takim przypadku koszty zastępstwa procesowego zostaną zwrócone przez skazanego. W ocenie skutków regulacji całkowicie pominięto </w:t>
      </w:r>
      <w:r w:rsidRPr="009D08BE">
        <w:rPr>
          <w:rFonts w:ascii="Bookman Old Style" w:hAnsi="Bookman Old Style"/>
          <w:sz w:val="24"/>
          <w:szCs w:val="24"/>
        </w:rPr>
        <w:lastRenderedPageBreak/>
        <w:t xml:space="preserve">koszty związane w wprowadzoną na etapie prac parlamentarnych instytucją obligatoryjnego pełnomocnika pokrzywdzonego z urzędu na wniosek. Koszty te nie będą </w:t>
      </w:r>
      <w:r w:rsidR="008119DA" w:rsidRPr="009D08BE">
        <w:rPr>
          <w:rFonts w:ascii="Bookman Old Style" w:hAnsi="Bookman Old Style"/>
          <w:sz w:val="24"/>
          <w:szCs w:val="24"/>
        </w:rPr>
        <w:t>podlegać zwrotowi, a zatem mogą</w:t>
      </w:r>
      <w:r w:rsidRPr="009D08BE">
        <w:rPr>
          <w:rFonts w:ascii="Bookman Old Style" w:hAnsi="Bookman Old Style"/>
          <w:sz w:val="24"/>
          <w:szCs w:val="24"/>
        </w:rPr>
        <w:t xml:space="preserve"> one znacznie przekroczyć koszty obligatoryjnej obrony na wniosek oskarżonego. </w:t>
      </w:r>
    </w:p>
    <w:p w:rsidR="00B64523" w:rsidRPr="009D08BE" w:rsidRDefault="00B64523" w:rsidP="009D08BE">
      <w:pPr>
        <w:spacing w:line="360" w:lineRule="auto"/>
        <w:jc w:val="both"/>
        <w:rPr>
          <w:rFonts w:ascii="Bookman Old Style" w:hAnsi="Bookman Old Style"/>
          <w:b/>
          <w:sz w:val="24"/>
          <w:szCs w:val="24"/>
        </w:rPr>
      </w:pPr>
    </w:p>
    <w:p w:rsidR="005765B5" w:rsidRPr="009D08BE" w:rsidRDefault="005765B5" w:rsidP="009D08BE">
      <w:pPr>
        <w:pStyle w:val="Akapitzlist"/>
        <w:numPr>
          <w:ilvl w:val="0"/>
          <w:numId w:val="2"/>
        </w:numPr>
        <w:spacing w:line="360" w:lineRule="auto"/>
        <w:jc w:val="both"/>
        <w:rPr>
          <w:rFonts w:ascii="Bookman Old Style" w:hAnsi="Bookman Old Style"/>
          <w:b/>
          <w:sz w:val="24"/>
          <w:szCs w:val="24"/>
        </w:rPr>
      </w:pPr>
      <w:r w:rsidRPr="009D08BE">
        <w:rPr>
          <w:rFonts w:ascii="Bookman Old Style" w:hAnsi="Bookman Old Style"/>
          <w:b/>
          <w:sz w:val="24"/>
          <w:szCs w:val="24"/>
        </w:rPr>
        <w:t>Minister Sprawiedliwości</w:t>
      </w:r>
      <w:r w:rsidR="00D14213" w:rsidRPr="009D08BE">
        <w:rPr>
          <w:rFonts w:ascii="Bookman Old Style" w:hAnsi="Bookman Old Style"/>
          <w:b/>
          <w:sz w:val="24"/>
          <w:szCs w:val="24"/>
        </w:rPr>
        <w:t xml:space="preserve"> – brak nowego Prawa o prokuraturze, niestosowanie </w:t>
      </w:r>
      <w:r w:rsidR="006C3C72" w:rsidRPr="009D08BE">
        <w:rPr>
          <w:rFonts w:ascii="Bookman Old Style" w:hAnsi="Bookman Old Style"/>
          <w:b/>
          <w:sz w:val="24"/>
          <w:szCs w:val="24"/>
        </w:rPr>
        <w:t>„</w:t>
      </w:r>
      <w:r w:rsidR="00D14213" w:rsidRPr="009D08BE">
        <w:rPr>
          <w:rFonts w:ascii="Bookman Old Style" w:hAnsi="Bookman Old Style"/>
          <w:b/>
          <w:sz w:val="24"/>
          <w:szCs w:val="24"/>
        </w:rPr>
        <w:t>Regulaminu Grabarczyka</w:t>
      </w:r>
      <w:r w:rsidR="006C3C72" w:rsidRPr="009D08BE">
        <w:rPr>
          <w:rFonts w:ascii="Bookman Old Style" w:hAnsi="Bookman Old Style"/>
          <w:b/>
          <w:sz w:val="24"/>
          <w:szCs w:val="24"/>
        </w:rPr>
        <w:t>”</w:t>
      </w:r>
      <w:r w:rsidR="00D14213" w:rsidRPr="009D08BE">
        <w:rPr>
          <w:rFonts w:ascii="Bookman Old Style" w:hAnsi="Bookman Old Style"/>
          <w:b/>
          <w:sz w:val="24"/>
          <w:szCs w:val="24"/>
        </w:rPr>
        <w:t>, brak rozwiązań prawnych zapewniających udział autora aktu osk</w:t>
      </w:r>
      <w:r w:rsidR="006C3C72" w:rsidRPr="009D08BE">
        <w:rPr>
          <w:rFonts w:ascii="Bookman Old Style" w:hAnsi="Bookman Old Style"/>
          <w:b/>
          <w:sz w:val="24"/>
          <w:szCs w:val="24"/>
        </w:rPr>
        <w:t xml:space="preserve">arżenia </w:t>
      </w:r>
      <w:r w:rsidR="00F4213D">
        <w:rPr>
          <w:rFonts w:ascii="Bookman Old Style" w:hAnsi="Bookman Old Style"/>
          <w:b/>
          <w:sz w:val="24"/>
          <w:szCs w:val="24"/>
        </w:rPr>
        <w:br/>
      </w:r>
      <w:r w:rsidR="006C3C72" w:rsidRPr="009D08BE">
        <w:rPr>
          <w:rFonts w:ascii="Bookman Old Style" w:hAnsi="Bookman Old Style"/>
          <w:b/>
          <w:sz w:val="24"/>
          <w:szCs w:val="24"/>
        </w:rPr>
        <w:t>w rozprawie przed sądem, b</w:t>
      </w:r>
      <w:r w:rsidR="003D6A6C" w:rsidRPr="009D08BE">
        <w:rPr>
          <w:rFonts w:ascii="Bookman Old Style" w:hAnsi="Bookman Old Style"/>
          <w:b/>
          <w:sz w:val="24"/>
          <w:szCs w:val="24"/>
        </w:rPr>
        <w:t xml:space="preserve">rak rozporządzenia określającego wzór pouczeń dla pokrzywdzonych i podejrzanych. </w:t>
      </w:r>
      <w:r w:rsidR="00D14213" w:rsidRPr="009D08BE">
        <w:rPr>
          <w:rFonts w:ascii="Bookman Old Style" w:hAnsi="Bookman Old Style"/>
          <w:b/>
          <w:sz w:val="24"/>
          <w:szCs w:val="24"/>
        </w:rPr>
        <w:t xml:space="preserve"> </w:t>
      </w:r>
    </w:p>
    <w:p w:rsidR="009D74A2" w:rsidRPr="009D08BE" w:rsidRDefault="00B64523" w:rsidP="009D08BE">
      <w:pPr>
        <w:spacing w:line="360" w:lineRule="auto"/>
        <w:jc w:val="both"/>
        <w:rPr>
          <w:rFonts w:ascii="Bookman Old Style" w:hAnsi="Bookman Old Style"/>
          <w:sz w:val="24"/>
          <w:szCs w:val="24"/>
        </w:rPr>
      </w:pPr>
      <w:r w:rsidRPr="009D08BE">
        <w:rPr>
          <w:rFonts w:ascii="Bookman Old Style" w:hAnsi="Bookman Old Style"/>
          <w:sz w:val="24"/>
          <w:szCs w:val="24"/>
        </w:rPr>
        <w:t xml:space="preserve">W okresie, w którym trwały </w:t>
      </w:r>
      <w:r w:rsidR="008119DA" w:rsidRPr="009D08BE">
        <w:rPr>
          <w:rFonts w:ascii="Bookman Old Style" w:hAnsi="Bookman Old Style"/>
          <w:sz w:val="24"/>
          <w:szCs w:val="24"/>
        </w:rPr>
        <w:t xml:space="preserve">prace </w:t>
      </w:r>
      <w:r w:rsidRPr="009D08BE">
        <w:rPr>
          <w:rFonts w:ascii="Bookman Old Style" w:hAnsi="Bookman Old Style"/>
          <w:sz w:val="24"/>
          <w:szCs w:val="24"/>
        </w:rPr>
        <w:t xml:space="preserve">nad nową procedurą karną oraz po jej uchwaleniu, urzędem Ministra Sprawiedliwości kierowało 5 polityków. W tym czasie do konsultacji społecznych skierowano kilka projektów ustaw nowelizujących Ustawę o prokuraturze i projekt nowego Prawa </w:t>
      </w:r>
      <w:r w:rsidR="00F4213D">
        <w:rPr>
          <w:rFonts w:ascii="Bookman Old Style" w:hAnsi="Bookman Old Style"/>
          <w:sz w:val="24"/>
          <w:szCs w:val="24"/>
        </w:rPr>
        <w:br/>
      </w:r>
      <w:r w:rsidRPr="009D08BE">
        <w:rPr>
          <w:rFonts w:ascii="Bookman Old Style" w:hAnsi="Bookman Old Style"/>
          <w:sz w:val="24"/>
          <w:szCs w:val="24"/>
        </w:rPr>
        <w:t xml:space="preserve">o prokuraturze. </w:t>
      </w:r>
      <w:r w:rsidR="002223A8" w:rsidRPr="009D08BE">
        <w:rPr>
          <w:rFonts w:ascii="Bookman Old Style" w:hAnsi="Bookman Old Style"/>
          <w:sz w:val="24"/>
          <w:szCs w:val="24"/>
        </w:rPr>
        <w:t xml:space="preserve">Podstawowym ratio legis tych projektów było dostosowanie organizacyjne i strukturalne prokuratury do wymogów kontradyktoryjnego procesu karnego. W wyniku decyzji politycznych zaniechano prac nad nową ustawą ustrojową regulującą funkcjonowanie prokuratury. W rezultacie stroną w „amerykańskim” procesie będzie instytucja, której ramy ustrojowe pochodzą opierają się na Ustawie </w:t>
      </w:r>
      <w:r w:rsidR="006C3C72" w:rsidRPr="009D08BE">
        <w:rPr>
          <w:rFonts w:ascii="Bookman Old Style" w:hAnsi="Bookman Old Style"/>
          <w:sz w:val="24"/>
          <w:szCs w:val="24"/>
        </w:rPr>
        <w:t xml:space="preserve">o prokuraturze </w:t>
      </w:r>
      <w:r w:rsidR="002223A8" w:rsidRPr="009D08BE">
        <w:rPr>
          <w:rFonts w:ascii="Bookman Old Style" w:hAnsi="Bookman Old Style"/>
          <w:sz w:val="24"/>
          <w:szCs w:val="24"/>
        </w:rPr>
        <w:t xml:space="preserve">z 1985 r. </w:t>
      </w:r>
    </w:p>
    <w:p w:rsidR="009D08BE" w:rsidRPr="009D08BE" w:rsidRDefault="002223A8" w:rsidP="009D08BE">
      <w:pPr>
        <w:spacing w:line="360" w:lineRule="auto"/>
        <w:jc w:val="both"/>
        <w:rPr>
          <w:rFonts w:ascii="Bookman Old Style" w:hAnsi="Bookman Old Style"/>
          <w:sz w:val="24"/>
          <w:szCs w:val="24"/>
        </w:rPr>
      </w:pPr>
      <w:r w:rsidRPr="009D08BE">
        <w:rPr>
          <w:rFonts w:ascii="Bookman Old Style" w:hAnsi="Bookman Old Style"/>
          <w:sz w:val="24"/>
          <w:szCs w:val="24"/>
        </w:rPr>
        <w:t>Za</w:t>
      </w:r>
      <w:r w:rsidR="00D14213" w:rsidRPr="009D08BE">
        <w:rPr>
          <w:rFonts w:ascii="Bookman Old Style" w:hAnsi="Bookman Old Style"/>
          <w:sz w:val="24"/>
          <w:szCs w:val="24"/>
        </w:rPr>
        <w:t>miast</w:t>
      </w:r>
      <w:r w:rsidRPr="009D08BE">
        <w:rPr>
          <w:rFonts w:ascii="Bookman Old Style" w:hAnsi="Bookman Old Style"/>
          <w:sz w:val="24"/>
          <w:szCs w:val="24"/>
        </w:rPr>
        <w:t xml:space="preserve"> Prawa o prokuraturze Ministerstwo Sprawiedliwości przygotowało nową wersję Rozporządzenia Regulamin wewnętrznego urzędowania powszechnych jednostek organizacyjnych prokuratury. Jego pierwsza, korzystna wersja zwana „Regulaminem Biernackiego” uległa radykalnej modyfikacji pod rządami kolejnego z Ministrów i jako „Regulamin Grabarczyka” nie przyjęła się w praktyce. Poprzez wprowadzenie do regulaminów licznych wyjątków od postulowanych przez środowisko prokuratorskie rozwiązań</w:t>
      </w:r>
      <w:r w:rsidR="00D14213" w:rsidRPr="009D08BE">
        <w:rPr>
          <w:rFonts w:ascii="Bookman Old Style" w:hAnsi="Bookman Old Style"/>
          <w:sz w:val="24"/>
          <w:szCs w:val="24"/>
        </w:rPr>
        <w:t>, P</w:t>
      </w:r>
      <w:r w:rsidRPr="009D08BE">
        <w:rPr>
          <w:rFonts w:ascii="Bookman Old Style" w:hAnsi="Bookman Old Style"/>
          <w:sz w:val="24"/>
          <w:szCs w:val="24"/>
        </w:rPr>
        <w:t xml:space="preserve">rokuratura w przededniu wielkiej reformy procesu karnego nie została poddana jakimkolwiek przekształceniom </w:t>
      </w:r>
      <w:r w:rsidR="00F4213D">
        <w:rPr>
          <w:rFonts w:ascii="Bookman Old Style" w:hAnsi="Bookman Old Style"/>
          <w:sz w:val="24"/>
          <w:szCs w:val="24"/>
        </w:rPr>
        <w:br/>
      </w:r>
      <w:r w:rsidRPr="009D08BE">
        <w:rPr>
          <w:rFonts w:ascii="Bookman Old Style" w:hAnsi="Bookman Old Style"/>
          <w:sz w:val="24"/>
          <w:szCs w:val="24"/>
        </w:rPr>
        <w:t>i działaniom dostosowawczym. Żadne z czterech kluczowych rozwiązań</w:t>
      </w:r>
      <w:r w:rsidR="006C3C72" w:rsidRPr="009D08BE">
        <w:rPr>
          <w:rFonts w:ascii="Bookman Old Style" w:hAnsi="Bookman Old Style"/>
          <w:sz w:val="24"/>
          <w:szCs w:val="24"/>
        </w:rPr>
        <w:t xml:space="preserve"> R</w:t>
      </w:r>
      <w:r w:rsidR="00D14213" w:rsidRPr="009D08BE">
        <w:rPr>
          <w:rFonts w:ascii="Bookman Old Style" w:hAnsi="Bookman Old Style"/>
          <w:sz w:val="24"/>
          <w:szCs w:val="24"/>
        </w:rPr>
        <w:t xml:space="preserve">egulaminu nie jest stosowane. </w:t>
      </w:r>
      <w:r w:rsidR="00261F6D" w:rsidRPr="009D08BE">
        <w:rPr>
          <w:rFonts w:ascii="Bookman Old Style" w:hAnsi="Bookman Old Style"/>
          <w:sz w:val="24"/>
          <w:szCs w:val="24"/>
        </w:rPr>
        <w:t xml:space="preserve">Wąsko określona właściwość rzeczowa </w:t>
      </w:r>
      <w:r w:rsidR="00261F6D" w:rsidRPr="009D08BE">
        <w:rPr>
          <w:rFonts w:ascii="Bookman Old Style" w:hAnsi="Bookman Old Style"/>
          <w:sz w:val="24"/>
          <w:szCs w:val="24"/>
        </w:rPr>
        <w:lastRenderedPageBreak/>
        <w:t xml:space="preserve">prokuratur okręgowych i apelacyjnych, </w:t>
      </w:r>
      <w:r w:rsidR="00D14213" w:rsidRPr="009D08BE">
        <w:rPr>
          <w:rFonts w:ascii="Bookman Old Style" w:hAnsi="Bookman Old Style"/>
          <w:sz w:val="24"/>
          <w:szCs w:val="24"/>
        </w:rPr>
        <w:t xml:space="preserve">które zgodnie z „Regulaminem Grabarczyka” </w:t>
      </w:r>
      <w:r w:rsidR="00261F6D" w:rsidRPr="009D08BE">
        <w:rPr>
          <w:rFonts w:ascii="Bookman Old Style" w:hAnsi="Bookman Old Style"/>
          <w:sz w:val="24"/>
          <w:szCs w:val="24"/>
        </w:rPr>
        <w:t xml:space="preserve">miały przejąć około 1 % spraw z ponad 99 procent ogółu postępowań przygotowawczych prowadzonych przez prokuratury rejonowe nie jest w praktyce przestrzegana. Obowiązkowy referat oskarżycielski </w:t>
      </w:r>
      <w:r w:rsidR="00F4213D">
        <w:rPr>
          <w:rFonts w:ascii="Bookman Old Style" w:hAnsi="Bookman Old Style"/>
          <w:sz w:val="24"/>
          <w:szCs w:val="24"/>
        </w:rPr>
        <w:br/>
      </w:r>
      <w:r w:rsidR="00261F6D" w:rsidRPr="009D08BE">
        <w:rPr>
          <w:rFonts w:ascii="Bookman Old Style" w:hAnsi="Bookman Old Style"/>
          <w:sz w:val="24"/>
          <w:szCs w:val="24"/>
        </w:rPr>
        <w:t>i sądowy istnieje w postaci szczątkowej. Nadal prokuratorzy funkcyjni oraz prokuratorzy z tzw</w:t>
      </w:r>
      <w:r w:rsidR="00D14213" w:rsidRPr="009D08BE">
        <w:rPr>
          <w:rFonts w:ascii="Bookman Old Style" w:hAnsi="Bookman Old Style"/>
          <w:sz w:val="24"/>
          <w:szCs w:val="24"/>
        </w:rPr>
        <w:t>.</w:t>
      </w:r>
      <w:r w:rsidR="00261F6D" w:rsidRPr="009D08BE">
        <w:rPr>
          <w:rFonts w:ascii="Bookman Old Style" w:hAnsi="Bookman Old Style"/>
          <w:sz w:val="24"/>
          <w:szCs w:val="24"/>
        </w:rPr>
        <w:t xml:space="preserve"> wydziałów nieliniowych prokuratur okręgowych </w:t>
      </w:r>
      <w:r w:rsidR="006C3C72" w:rsidRPr="009D08BE">
        <w:rPr>
          <w:rFonts w:ascii="Bookman Old Style" w:hAnsi="Bookman Old Style"/>
          <w:sz w:val="24"/>
          <w:szCs w:val="24"/>
        </w:rPr>
        <w:br/>
      </w:r>
      <w:r w:rsidR="00261F6D" w:rsidRPr="009D08BE">
        <w:rPr>
          <w:rFonts w:ascii="Bookman Old Style" w:hAnsi="Bookman Old Style"/>
          <w:sz w:val="24"/>
          <w:szCs w:val="24"/>
        </w:rPr>
        <w:t>i apelacyjnych nie prowadzą postepowań, a jeśli występują przed sądami, to incydentalnie.</w:t>
      </w:r>
      <w:r w:rsidR="00023CF5">
        <w:rPr>
          <w:rFonts w:ascii="Bookman Old Style" w:hAnsi="Bookman Old Style"/>
          <w:sz w:val="24"/>
          <w:szCs w:val="24"/>
        </w:rPr>
        <w:t xml:space="preserve"> </w:t>
      </w:r>
      <w:r w:rsidR="00261F6D" w:rsidRPr="009D08BE">
        <w:rPr>
          <w:rFonts w:ascii="Bookman Old Style" w:hAnsi="Bookman Old Style"/>
          <w:sz w:val="24"/>
          <w:szCs w:val="24"/>
        </w:rPr>
        <w:t>Wbrew zapewnieniom Ministerstwa Sprawiedliwości prokuratorzy prokuratur apelacyjnych i okręgowych nie pełnią dyżurów zdarzeniowych. W ich miejsce</w:t>
      </w:r>
      <w:r w:rsidR="00242AF4">
        <w:rPr>
          <w:rFonts w:ascii="Bookman Old Style" w:hAnsi="Bookman Old Style"/>
          <w:sz w:val="24"/>
          <w:szCs w:val="24"/>
        </w:rPr>
        <w:t>, Z</w:t>
      </w:r>
      <w:r w:rsidR="00261F6D" w:rsidRPr="009D08BE">
        <w:rPr>
          <w:rFonts w:ascii="Bookman Old Style" w:hAnsi="Bookman Old Style"/>
          <w:sz w:val="24"/>
          <w:szCs w:val="24"/>
        </w:rPr>
        <w:t xml:space="preserve">arządzeniem Prokuratora Generalnego wprowadzono całkowicie fikcyjne dyżury według właściwości rzeczowej, czyli w sprawach w których nie dochodzi do zdarzeń wymagających udziału prokuratora w oględzinach miejsca zdarzenia. </w:t>
      </w:r>
    </w:p>
    <w:p w:rsidR="007268ED" w:rsidRPr="009D08BE" w:rsidRDefault="00261F6D" w:rsidP="009D08BE">
      <w:pPr>
        <w:spacing w:line="360" w:lineRule="auto"/>
        <w:jc w:val="both"/>
        <w:rPr>
          <w:rFonts w:ascii="Bookman Old Style" w:hAnsi="Bookman Old Style"/>
          <w:sz w:val="24"/>
          <w:szCs w:val="24"/>
        </w:rPr>
      </w:pPr>
      <w:r w:rsidRPr="009D08BE">
        <w:rPr>
          <w:rFonts w:ascii="Bookman Old Style" w:hAnsi="Bookman Old Style"/>
          <w:sz w:val="24"/>
          <w:szCs w:val="24"/>
        </w:rPr>
        <w:t xml:space="preserve">Od stycznia 2015 r. istnieje obowiązek uczestniczenia w rozprawach sądowych prokuratora – autora aktu oskarżenia. Obowiązek ten pozostał jednak całkowicie fikcyjny pomimo, iż podstawowym warunkiem sukcesu procedury karnej jest zapewnienie udziału w rozprawie tego prokuratora, który sporządził i podpisał akt oskarżenia. Na tydzień przed wejściem w życie nowej procedury karnej Ministerstwo Sprawiedliwości nie przygotowało zmian w regulaminach urzędowania sądów i prokuratury zobowiązujących do takiego ukształtowania systemu wokand sądowych, który otwierałby możliwość uczestniczenia w rozprawie tego prokuratora, który jest autorem skargi i posiada kompleksową znajomość sprawy. Obecnie trwają prace pilotażowe nad systemem opracowanym oddolnie przez </w:t>
      </w:r>
      <w:r w:rsidR="00D14213" w:rsidRPr="009D08BE">
        <w:rPr>
          <w:rFonts w:ascii="Bookman Old Style" w:hAnsi="Bookman Old Style"/>
          <w:sz w:val="24"/>
          <w:szCs w:val="24"/>
        </w:rPr>
        <w:t xml:space="preserve">Sąd Rejonowy </w:t>
      </w:r>
      <w:r w:rsidR="00F4213D">
        <w:rPr>
          <w:rFonts w:ascii="Bookman Old Style" w:hAnsi="Bookman Old Style"/>
          <w:sz w:val="24"/>
          <w:szCs w:val="24"/>
        </w:rPr>
        <w:br/>
      </w:r>
      <w:r w:rsidR="00D14213" w:rsidRPr="009D08BE">
        <w:rPr>
          <w:rFonts w:ascii="Bookman Old Style" w:hAnsi="Bookman Old Style"/>
          <w:sz w:val="24"/>
          <w:szCs w:val="24"/>
        </w:rPr>
        <w:t xml:space="preserve">w Rudzie Śląskiej znanym jako </w:t>
      </w:r>
      <w:r w:rsidR="00D14213" w:rsidRPr="009D08BE">
        <w:rPr>
          <w:rFonts w:ascii="Bookman Old Style" w:hAnsi="Bookman Old Style"/>
          <w:sz w:val="24"/>
          <w:szCs w:val="24"/>
        </w:rPr>
        <w:t>"S</w:t>
      </w:r>
      <w:r w:rsidR="009D08BE" w:rsidRPr="009D08BE">
        <w:rPr>
          <w:rFonts w:ascii="Bookman Old Style" w:hAnsi="Bookman Old Style"/>
          <w:sz w:val="24"/>
          <w:szCs w:val="24"/>
        </w:rPr>
        <w:t>ystem o</w:t>
      </w:r>
      <w:r w:rsidR="00D14213" w:rsidRPr="009D08BE">
        <w:rPr>
          <w:rFonts w:ascii="Bookman Old Style" w:hAnsi="Bookman Old Style"/>
          <w:sz w:val="24"/>
          <w:szCs w:val="24"/>
        </w:rPr>
        <w:t xml:space="preserve">rganizacji </w:t>
      </w:r>
      <w:r w:rsidR="00F4213D">
        <w:rPr>
          <w:rFonts w:ascii="Bookman Old Style" w:hAnsi="Bookman Old Style"/>
          <w:sz w:val="24"/>
          <w:szCs w:val="24"/>
        </w:rPr>
        <w:t>t</w:t>
      </w:r>
      <w:r w:rsidR="00F4213D" w:rsidRPr="009D08BE">
        <w:rPr>
          <w:rFonts w:ascii="Bookman Old Style" w:hAnsi="Bookman Old Style"/>
          <w:sz w:val="24"/>
          <w:szCs w:val="24"/>
        </w:rPr>
        <w:t>erminarza</w:t>
      </w:r>
      <w:r w:rsidR="009D08BE" w:rsidRPr="009D08BE">
        <w:rPr>
          <w:rFonts w:ascii="Bookman Old Style" w:hAnsi="Bookman Old Style"/>
          <w:sz w:val="24"/>
          <w:szCs w:val="24"/>
        </w:rPr>
        <w:t xml:space="preserve"> r</w:t>
      </w:r>
      <w:r w:rsidR="00D14213" w:rsidRPr="009D08BE">
        <w:rPr>
          <w:rFonts w:ascii="Bookman Old Style" w:hAnsi="Bookman Old Style"/>
          <w:sz w:val="24"/>
          <w:szCs w:val="24"/>
        </w:rPr>
        <w:t>ozpraw</w:t>
      </w:r>
      <w:r w:rsidR="00D14213" w:rsidRPr="009D08BE">
        <w:rPr>
          <w:rFonts w:ascii="Bookman Old Style" w:hAnsi="Bookman Old Style"/>
          <w:sz w:val="24"/>
          <w:szCs w:val="24"/>
        </w:rPr>
        <w:t>.</w:t>
      </w:r>
      <w:r w:rsidR="00D14213" w:rsidRPr="009D08BE">
        <w:rPr>
          <w:rFonts w:ascii="Bookman Old Style" w:hAnsi="Bookman Old Style"/>
          <w:sz w:val="24"/>
          <w:szCs w:val="24"/>
        </w:rPr>
        <w:t>"</w:t>
      </w:r>
      <w:r w:rsidR="00D14213" w:rsidRPr="009D08BE">
        <w:rPr>
          <w:rFonts w:ascii="Bookman Old Style" w:hAnsi="Bookman Old Style"/>
          <w:sz w:val="24"/>
          <w:szCs w:val="24"/>
        </w:rPr>
        <w:t xml:space="preserve"> Podkreślić należy że wspomniany system jest inicjatywą przewodniczącego </w:t>
      </w:r>
      <w:r w:rsidR="009D08BE" w:rsidRPr="009D08BE">
        <w:rPr>
          <w:rFonts w:ascii="Bookman Old Style" w:hAnsi="Bookman Old Style"/>
          <w:sz w:val="24"/>
          <w:szCs w:val="24"/>
        </w:rPr>
        <w:t>wydziału</w:t>
      </w:r>
      <w:r w:rsidR="00D14213" w:rsidRPr="009D08BE">
        <w:rPr>
          <w:rFonts w:ascii="Bookman Old Style" w:hAnsi="Bookman Old Style"/>
          <w:sz w:val="24"/>
          <w:szCs w:val="24"/>
        </w:rPr>
        <w:t xml:space="preserve"> karnego z Rudy Śląskiej, a nie zobowiązanych do p</w:t>
      </w:r>
      <w:r w:rsidR="00242AF4">
        <w:rPr>
          <w:rFonts w:ascii="Bookman Old Style" w:hAnsi="Bookman Old Style"/>
          <w:sz w:val="24"/>
          <w:szCs w:val="24"/>
        </w:rPr>
        <w:t>odjęcia działań dostosowawczych</w:t>
      </w:r>
      <w:r w:rsidR="00D14213" w:rsidRPr="009D08BE">
        <w:rPr>
          <w:rFonts w:ascii="Bookman Old Style" w:hAnsi="Bookman Old Style"/>
          <w:sz w:val="24"/>
          <w:szCs w:val="24"/>
        </w:rPr>
        <w:t xml:space="preserve"> - Ministra Sprawiedliwości i Prokuratora Generalnego. Reasumując, </w:t>
      </w:r>
      <w:r w:rsidR="007268ED" w:rsidRPr="009D08BE">
        <w:rPr>
          <w:rFonts w:ascii="Bookman Old Style" w:hAnsi="Bookman Old Style"/>
          <w:sz w:val="24"/>
          <w:szCs w:val="24"/>
        </w:rPr>
        <w:t>Regulamin wewnętrznego urzędowania mający dostosować prokuraturę do now</w:t>
      </w:r>
      <w:r w:rsidR="009D08BE" w:rsidRPr="009D08BE">
        <w:rPr>
          <w:rFonts w:ascii="Bookman Old Style" w:hAnsi="Bookman Old Style"/>
          <w:sz w:val="24"/>
          <w:szCs w:val="24"/>
        </w:rPr>
        <w:t xml:space="preserve">ego procesu nie jest stosowany, a </w:t>
      </w:r>
      <w:r w:rsidR="007268ED" w:rsidRPr="009D08BE">
        <w:rPr>
          <w:rFonts w:ascii="Bookman Old Style" w:hAnsi="Bookman Old Style"/>
          <w:sz w:val="24"/>
          <w:szCs w:val="24"/>
        </w:rPr>
        <w:t xml:space="preserve">Ministerstwo Sprawiedliwości nie przygotowało </w:t>
      </w:r>
      <w:r w:rsidR="00D14213" w:rsidRPr="009D08BE">
        <w:rPr>
          <w:rFonts w:ascii="Bookman Old Style" w:hAnsi="Bookman Old Style"/>
          <w:sz w:val="24"/>
          <w:szCs w:val="24"/>
        </w:rPr>
        <w:t xml:space="preserve">jakiegokolwiek </w:t>
      </w:r>
      <w:r w:rsidR="007268ED" w:rsidRPr="009D08BE">
        <w:rPr>
          <w:rFonts w:ascii="Bookman Old Style" w:hAnsi="Bookman Old Style"/>
          <w:sz w:val="24"/>
          <w:szCs w:val="24"/>
        </w:rPr>
        <w:t xml:space="preserve">rozwiązania </w:t>
      </w:r>
      <w:r w:rsidR="00D14213" w:rsidRPr="009D08BE">
        <w:rPr>
          <w:rFonts w:ascii="Bookman Old Style" w:hAnsi="Bookman Old Style"/>
          <w:sz w:val="24"/>
          <w:szCs w:val="24"/>
        </w:rPr>
        <w:t xml:space="preserve">legislacyjnego </w:t>
      </w:r>
      <w:r w:rsidR="007268ED" w:rsidRPr="009D08BE">
        <w:rPr>
          <w:rFonts w:ascii="Bookman Old Style" w:hAnsi="Bookman Old Style"/>
          <w:sz w:val="24"/>
          <w:szCs w:val="24"/>
        </w:rPr>
        <w:t xml:space="preserve">zobowiązującego sądy i prokuratury do przestrzegania wynikającej </w:t>
      </w:r>
      <w:r w:rsidR="00F4213D">
        <w:rPr>
          <w:rFonts w:ascii="Bookman Old Style" w:hAnsi="Bookman Old Style"/>
          <w:sz w:val="24"/>
          <w:szCs w:val="24"/>
        </w:rPr>
        <w:br/>
      </w:r>
      <w:r w:rsidR="007268ED" w:rsidRPr="009D08BE">
        <w:rPr>
          <w:rFonts w:ascii="Bookman Old Style" w:hAnsi="Bookman Old Style"/>
          <w:sz w:val="24"/>
          <w:szCs w:val="24"/>
        </w:rPr>
        <w:lastRenderedPageBreak/>
        <w:t xml:space="preserve">z Regulaminu zasady występowania przed sądem autora aktu oskarżenia. </w:t>
      </w:r>
      <w:r w:rsidR="009D08BE" w:rsidRPr="009D08BE">
        <w:rPr>
          <w:rFonts w:ascii="Bookman Old Style" w:hAnsi="Bookman Old Style"/>
          <w:sz w:val="24"/>
          <w:szCs w:val="24"/>
        </w:rPr>
        <w:t>Nie zo</w:t>
      </w:r>
      <w:r w:rsidR="00023CF5">
        <w:rPr>
          <w:rFonts w:ascii="Bookman Old Style" w:hAnsi="Bookman Old Style"/>
          <w:sz w:val="24"/>
          <w:szCs w:val="24"/>
        </w:rPr>
        <w:t>stał zatem zrealizowany absolutnie podstawowy</w:t>
      </w:r>
      <w:r w:rsidR="009D08BE" w:rsidRPr="009D08BE">
        <w:rPr>
          <w:rFonts w:ascii="Bookman Old Style" w:hAnsi="Bookman Old Style"/>
          <w:sz w:val="24"/>
          <w:szCs w:val="24"/>
        </w:rPr>
        <w:t xml:space="preserve"> warunek, zapewniający skuteczność organów Państwa, działających na rzecz obywateli w kontradyktoryjnym procesie karnym. </w:t>
      </w:r>
    </w:p>
    <w:p w:rsidR="00D14213" w:rsidRPr="009D08BE" w:rsidRDefault="00D14213" w:rsidP="009D08BE">
      <w:pPr>
        <w:spacing w:line="360" w:lineRule="auto"/>
        <w:jc w:val="both"/>
        <w:rPr>
          <w:rFonts w:ascii="Bookman Old Style" w:hAnsi="Bookman Old Style"/>
          <w:sz w:val="24"/>
          <w:szCs w:val="24"/>
        </w:rPr>
      </w:pPr>
    </w:p>
    <w:p w:rsidR="005765B5" w:rsidRPr="009D08BE" w:rsidRDefault="005765B5" w:rsidP="009D08BE">
      <w:pPr>
        <w:pStyle w:val="Akapitzlist"/>
        <w:numPr>
          <w:ilvl w:val="0"/>
          <w:numId w:val="2"/>
        </w:numPr>
        <w:spacing w:line="360" w:lineRule="auto"/>
        <w:jc w:val="both"/>
        <w:rPr>
          <w:rFonts w:ascii="Bookman Old Style" w:hAnsi="Bookman Old Style"/>
          <w:b/>
          <w:sz w:val="24"/>
          <w:szCs w:val="24"/>
        </w:rPr>
      </w:pPr>
      <w:r w:rsidRPr="009D08BE">
        <w:rPr>
          <w:rFonts w:ascii="Bookman Old Style" w:hAnsi="Bookman Old Style"/>
          <w:b/>
          <w:sz w:val="24"/>
          <w:szCs w:val="24"/>
        </w:rPr>
        <w:t>Minister Spraw Wewnętrznych i Policja</w:t>
      </w:r>
      <w:r w:rsidR="00D14213" w:rsidRPr="009D08BE">
        <w:rPr>
          <w:rFonts w:ascii="Bookman Old Style" w:hAnsi="Bookman Old Style"/>
          <w:b/>
          <w:sz w:val="24"/>
          <w:szCs w:val="24"/>
        </w:rPr>
        <w:t xml:space="preserve"> – brak szkoleń dla kadry dochodzeniowej, brak kwalifikacji prawniczych po stronie funkcjonariuszy pionów dochodzeniowo śledczych </w:t>
      </w:r>
      <w:r w:rsidR="00F4213D">
        <w:rPr>
          <w:rFonts w:ascii="Bookman Old Style" w:hAnsi="Bookman Old Style"/>
          <w:b/>
          <w:sz w:val="24"/>
          <w:szCs w:val="24"/>
        </w:rPr>
        <w:br/>
      </w:r>
      <w:r w:rsidR="00D14213" w:rsidRPr="009D08BE">
        <w:rPr>
          <w:rFonts w:ascii="Bookman Old Style" w:hAnsi="Bookman Old Style"/>
          <w:b/>
          <w:sz w:val="24"/>
          <w:szCs w:val="24"/>
        </w:rPr>
        <w:t xml:space="preserve">i odpływ kadrowy z tych struktur. </w:t>
      </w:r>
    </w:p>
    <w:p w:rsidR="007268ED" w:rsidRPr="009D08BE" w:rsidRDefault="007268ED" w:rsidP="009D08BE">
      <w:pPr>
        <w:spacing w:line="360" w:lineRule="auto"/>
        <w:jc w:val="both"/>
        <w:rPr>
          <w:rFonts w:ascii="Bookman Old Style" w:hAnsi="Bookman Old Style"/>
          <w:sz w:val="24"/>
          <w:szCs w:val="24"/>
        </w:rPr>
      </w:pPr>
    </w:p>
    <w:p w:rsidR="007268ED" w:rsidRPr="009D08BE" w:rsidRDefault="007268ED" w:rsidP="009D08BE">
      <w:pPr>
        <w:spacing w:line="360" w:lineRule="auto"/>
        <w:jc w:val="both"/>
        <w:rPr>
          <w:rFonts w:ascii="Bookman Old Style" w:hAnsi="Bookman Old Style"/>
          <w:sz w:val="24"/>
          <w:szCs w:val="24"/>
        </w:rPr>
      </w:pPr>
      <w:r w:rsidRPr="009D08BE">
        <w:rPr>
          <w:rFonts w:ascii="Bookman Old Style" w:hAnsi="Bookman Old Style"/>
          <w:sz w:val="24"/>
          <w:szCs w:val="24"/>
        </w:rPr>
        <w:t xml:space="preserve">W ocenie Rady Głównej stan merytorycznego i technicznego przygotowania Policji do nowej, kontradyktoryjnej procedury karnej określić należy jako znikomy. Rada otrzymuje liczne informacje od funkcjonariuszy pionów dochodzeniowo – śledczych o braku szkoleń z przepisów wchodzących </w:t>
      </w:r>
      <w:r w:rsidR="00F4213D">
        <w:rPr>
          <w:rFonts w:ascii="Bookman Old Style" w:hAnsi="Bookman Old Style"/>
          <w:sz w:val="24"/>
          <w:szCs w:val="24"/>
        </w:rPr>
        <w:br/>
      </w:r>
      <w:r w:rsidRPr="009D08BE">
        <w:rPr>
          <w:rFonts w:ascii="Bookman Old Style" w:hAnsi="Bookman Old Style"/>
          <w:sz w:val="24"/>
          <w:szCs w:val="24"/>
        </w:rPr>
        <w:t xml:space="preserve">w życie 1 lipca 2015 r. </w:t>
      </w:r>
      <w:r w:rsidR="009D08BE" w:rsidRPr="009D08BE">
        <w:rPr>
          <w:rFonts w:ascii="Bookman Old Style" w:hAnsi="Bookman Old Style"/>
          <w:sz w:val="24"/>
          <w:szCs w:val="24"/>
        </w:rPr>
        <w:t>Jeśli mają one już miejsce to ich wartość dy</w:t>
      </w:r>
      <w:r w:rsidR="00023CF5">
        <w:rPr>
          <w:rFonts w:ascii="Bookman Old Style" w:hAnsi="Bookman Old Style"/>
          <w:sz w:val="24"/>
          <w:szCs w:val="24"/>
        </w:rPr>
        <w:t xml:space="preserve">daktyczna jest niewielka. </w:t>
      </w:r>
      <w:r w:rsidRPr="009D08BE">
        <w:rPr>
          <w:rFonts w:ascii="Bookman Old Style" w:hAnsi="Bookman Old Style"/>
          <w:sz w:val="24"/>
          <w:szCs w:val="24"/>
        </w:rPr>
        <w:t xml:space="preserve">W jednostkach Policji brakuje podstawowych środków technicznych takich jak papier, czy tonery do drukarek. Nowe procedury związane z </w:t>
      </w:r>
      <w:proofErr w:type="spellStart"/>
      <w:r w:rsidRPr="009D08BE">
        <w:rPr>
          <w:rFonts w:ascii="Bookman Old Style" w:hAnsi="Bookman Old Style"/>
          <w:sz w:val="24"/>
          <w:szCs w:val="24"/>
        </w:rPr>
        <w:t>anonimizacją</w:t>
      </w:r>
      <w:proofErr w:type="spellEnd"/>
      <w:r w:rsidRPr="009D08BE">
        <w:rPr>
          <w:rFonts w:ascii="Bookman Old Style" w:hAnsi="Bookman Old Style"/>
          <w:sz w:val="24"/>
          <w:szCs w:val="24"/>
        </w:rPr>
        <w:t xml:space="preserve"> akt zwiększyły potrzeby w tym zakresie </w:t>
      </w:r>
      <w:r w:rsidR="00F4213D">
        <w:rPr>
          <w:rFonts w:ascii="Bookman Old Style" w:hAnsi="Bookman Old Style"/>
          <w:sz w:val="24"/>
          <w:szCs w:val="24"/>
        </w:rPr>
        <w:br/>
      </w:r>
      <w:r w:rsidRPr="009D08BE">
        <w:rPr>
          <w:rFonts w:ascii="Bookman Old Style" w:hAnsi="Bookman Old Style"/>
          <w:sz w:val="24"/>
          <w:szCs w:val="24"/>
        </w:rPr>
        <w:t xml:space="preserve">o kilkadziesiąt procent, czego nie uwzględniono w budżetach. </w:t>
      </w:r>
      <w:r w:rsidR="00F06930" w:rsidRPr="009D08BE">
        <w:rPr>
          <w:rFonts w:ascii="Bookman Old Style" w:hAnsi="Bookman Old Style"/>
          <w:sz w:val="24"/>
          <w:szCs w:val="24"/>
        </w:rPr>
        <w:t>Funkcjonariusze Policji, podobnie jak prokuratorzy</w:t>
      </w:r>
      <w:r w:rsidR="00D14213" w:rsidRPr="009D08BE">
        <w:rPr>
          <w:rFonts w:ascii="Bookman Old Style" w:hAnsi="Bookman Old Style"/>
          <w:sz w:val="24"/>
          <w:szCs w:val="24"/>
        </w:rPr>
        <w:t>,</w:t>
      </w:r>
      <w:r w:rsidR="00F06930" w:rsidRPr="009D08BE">
        <w:rPr>
          <w:rFonts w:ascii="Bookman Old Style" w:hAnsi="Bookman Old Style"/>
          <w:sz w:val="24"/>
          <w:szCs w:val="24"/>
        </w:rPr>
        <w:t xml:space="preserve"> nie otrzymali tekstów jednolitych wchodzącej w życie ustawy. Zauważalny jest odpływ najbardziej doświadczonych funkcjonariuszy z pionów dochodzeniowo śledczych do pionów operacyjnych. Na szkoleniach kadry kierowniczej Policji instruuje się jak przerzucać w wystąpieniach w środkach masowego przekazu odpowiedzialność na prokuraturę w wypadku ewentualnego niepowodzenia procesowego</w:t>
      </w:r>
      <w:r w:rsidR="009D08BE" w:rsidRPr="009D08BE">
        <w:rPr>
          <w:rFonts w:ascii="Bookman Old Style" w:hAnsi="Bookman Old Style"/>
          <w:sz w:val="24"/>
          <w:szCs w:val="24"/>
        </w:rPr>
        <w:t>, określając prokuraturę mianem „najsłabszego ogniwa reformy</w:t>
      </w:r>
      <w:r w:rsidR="00023CF5">
        <w:rPr>
          <w:rFonts w:ascii="Bookman Old Style" w:hAnsi="Bookman Old Style"/>
          <w:sz w:val="24"/>
          <w:szCs w:val="24"/>
        </w:rPr>
        <w:t>.</w:t>
      </w:r>
      <w:r w:rsidR="009D08BE" w:rsidRPr="009D08BE">
        <w:rPr>
          <w:rFonts w:ascii="Bookman Old Style" w:hAnsi="Bookman Old Style"/>
          <w:sz w:val="24"/>
          <w:szCs w:val="24"/>
        </w:rPr>
        <w:t>”</w:t>
      </w:r>
      <w:r w:rsidR="00F06930" w:rsidRPr="009D08BE">
        <w:rPr>
          <w:rFonts w:ascii="Bookman Old Style" w:hAnsi="Bookman Old Style"/>
          <w:sz w:val="24"/>
          <w:szCs w:val="24"/>
        </w:rPr>
        <w:t xml:space="preserve"> Wśród kadry policyjnej brak jest w szczególności funkcjonariuszy </w:t>
      </w:r>
      <w:r w:rsidR="009D08BE" w:rsidRPr="009D08BE">
        <w:rPr>
          <w:rFonts w:ascii="Bookman Old Style" w:hAnsi="Bookman Old Style"/>
          <w:sz w:val="24"/>
          <w:szCs w:val="24"/>
        </w:rPr>
        <w:br/>
      </w:r>
      <w:r w:rsidR="00F06930" w:rsidRPr="009D08BE">
        <w:rPr>
          <w:rFonts w:ascii="Bookman Old Style" w:hAnsi="Bookman Old Style"/>
          <w:sz w:val="24"/>
          <w:szCs w:val="24"/>
        </w:rPr>
        <w:t>o wyk</w:t>
      </w:r>
      <w:r w:rsidR="00D14213" w:rsidRPr="009D08BE">
        <w:rPr>
          <w:rFonts w:ascii="Bookman Old Style" w:hAnsi="Bookman Old Style"/>
          <w:sz w:val="24"/>
          <w:szCs w:val="24"/>
        </w:rPr>
        <w:t>ształceniu prawniczym pomimo, że</w:t>
      </w:r>
      <w:r w:rsidR="00F06930" w:rsidRPr="009D08BE">
        <w:rPr>
          <w:rFonts w:ascii="Bookman Old Style" w:hAnsi="Bookman Old Style"/>
          <w:sz w:val="24"/>
          <w:szCs w:val="24"/>
        </w:rPr>
        <w:t xml:space="preserve"> wraz z dniem 1 lipca 2015 pełna odpowiedzialność za prowadzenie dochodzeń spoczywać będzie nie na prokuraturze lecz na Policji. Ta pierwsza bowiem, pomimo zachowania obowiązku </w:t>
      </w:r>
      <w:r w:rsidR="00D14213" w:rsidRPr="009D08BE">
        <w:rPr>
          <w:rFonts w:ascii="Bookman Old Style" w:hAnsi="Bookman Old Style"/>
          <w:sz w:val="24"/>
          <w:szCs w:val="24"/>
        </w:rPr>
        <w:t xml:space="preserve">formalnego </w:t>
      </w:r>
      <w:r w:rsidR="00F06930" w:rsidRPr="009D08BE">
        <w:rPr>
          <w:rFonts w:ascii="Bookman Old Style" w:hAnsi="Bookman Old Style"/>
          <w:sz w:val="24"/>
          <w:szCs w:val="24"/>
        </w:rPr>
        <w:t xml:space="preserve">nadzoru, ale braku realnych instrumentów do jego </w:t>
      </w:r>
      <w:r w:rsidR="00F06930" w:rsidRPr="009D08BE">
        <w:rPr>
          <w:rFonts w:ascii="Bookman Old Style" w:hAnsi="Bookman Old Style"/>
          <w:sz w:val="24"/>
          <w:szCs w:val="24"/>
        </w:rPr>
        <w:lastRenderedPageBreak/>
        <w:t xml:space="preserve">wykonywania, poddawać będzie kontroli policyjne decyzje kończące postepowanie dopiero z chwilą otrzymania zażalenia na decyzje o umorzeniu lub odmowie wszczęcia dochodzenia lub wniosku o objęcie aktem oskarżenia. Zmiana ta w stosunku do obecnego stanu rzeczy ma charakter rewolucyjny </w:t>
      </w:r>
      <w:r w:rsidR="00F4213D">
        <w:rPr>
          <w:rFonts w:ascii="Bookman Old Style" w:hAnsi="Bookman Old Style"/>
          <w:sz w:val="24"/>
          <w:szCs w:val="24"/>
        </w:rPr>
        <w:br/>
      </w:r>
      <w:r w:rsidR="00F06930" w:rsidRPr="009D08BE">
        <w:rPr>
          <w:rFonts w:ascii="Bookman Old Style" w:hAnsi="Bookman Old Style"/>
          <w:sz w:val="24"/>
          <w:szCs w:val="24"/>
        </w:rPr>
        <w:t xml:space="preserve">i wymaga gruntownego oraz kompleksowego podwyższenia kwalifikacji </w:t>
      </w:r>
      <w:r w:rsidR="00F4213D">
        <w:rPr>
          <w:rFonts w:ascii="Bookman Old Style" w:hAnsi="Bookman Old Style"/>
          <w:sz w:val="24"/>
          <w:szCs w:val="24"/>
        </w:rPr>
        <w:br/>
      </w:r>
      <w:r w:rsidR="00F06930" w:rsidRPr="009D08BE">
        <w:rPr>
          <w:rFonts w:ascii="Bookman Old Style" w:hAnsi="Bookman Old Style"/>
          <w:sz w:val="24"/>
          <w:szCs w:val="24"/>
        </w:rPr>
        <w:t>i jakości kadry policyjnej zatrudnionej w pionach dochodzeniowo –</w:t>
      </w:r>
      <w:r w:rsidR="00D14213" w:rsidRPr="009D08BE">
        <w:rPr>
          <w:rFonts w:ascii="Bookman Old Style" w:hAnsi="Bookman Old Style"/>
          <w:sz w:val="24"/>
          <w:szCs w:val="24"/>
        </w:rPr>
        <w:t xml:space="preserve"> śledczych włącznie z zatrudnianiem w nich osób o wykształceniu prawniczym. </w:t>
      </w:r>
    </w:p>
    <w:p w:rsidR="005765B5" w:rsidRPr="009D08BE" w:rsidRDefault="005765B5" w:rsidP="009D08BE">
      <w:pPr>
        <w:pStyle w:val="Akapitzlist"/>
        <w:numPr>
          <w:ilvl w:val="0"/>
          <w:numId w:val="2"/>
        </w:numPr>
        <w:spacing w:line="360" w:lineRule="auto"/>
        <w:jc w:val="both"/>
        <w:rPr>
          <w:rFonts w:ascii="Bookman Old Style" w:hAnsi="Bookman Old Style"/>
          <w:b/>
          <w:sz w:val="24"/>
          <w:szCs w:val="24"/>
        </w:rPr>
      </w:pPr>
      <w:r w:rsidRPr="009D08BE">
        <w:rPr>
          <w:rFonts w:ascii="Bookman Old Style" w:hAnsi="Bookman Old Style"/>
          <w:b/>
          <w:sz w:val="24"/>
          <w:szCs w:val="24"/>
        </w:rPr>
        <w:t>Prokuratura</w:t>
      </w:r>
      <w:r w:rsidR="003D6A6C" w:rsidRPr="009D08BE">
        <w:rPr>
          <w:rFonts w:ascii="Bookman Old Style" w:hAnsi="Bookman Old Style"/>
          <w:b/>
          <w:sz w:val="24"/>
          <w:szCs w:val="24"/>
        </w:rPr>
        <w:t xml:space="preserve"> – niezapewnienie prokuratorom dostępu do </w:t>
      </w:r>
      <w:proofErr w:type="spellStart"/>
      <w:r w:rsidR="003D6A6C" w:rsidRPr="009D08BE">
        <w:rPr>
          <w:rFonts w:ascii="Bookman Old Style" w:hAnsi="Bookman Old Style"/>
          <w:b/>
          <w:sz w:val="24"/>
          <w:szCs w:val="24"/>
        </w:rPr>
        <w:t>zdigitalizowanych</w:t>
      </w:r>
      <w:proofErr w:type="spellEnd"/>
      <w:r w:rsidR="003D6A6C" w:rsidRPr="009D08BE">
        <w:rPr>
          <w:rFonts w:ascii="Bookman Old Style" w:hAnsi="Bookman Old Style"/>
          <w:b/>
          <w:sz w:val="24"/>
          <w:szCs w:val="24"/>
        </w:rPr>
        <w:t xml:space="preserve"> akt w trakcie rozprawy, brak modyfikacji w SIP (System Informatyczny Prokuratury), brak aktualnych aktów prawnych i pouczeń dla stron, brak Zarządzenia PG określającego nową organizacje pracy sekretariatów. </w:t>
      </w:r>
    </w:p>
    <w:p w:rsidR="005652F0" w:rsidRPr="009D08BE" w:rsidRDefault="005652F0" w:rsidP="009D08BE">
      <w:pPr>
        <w:spacing w:after="0" w:line="360" w:lineRule="auto"/>
        <w:jc w:val="both"/>
        <w:rPr>
          <w:rFonts w:ascii="Bookman Old Style" w:hAnsi="Bookman Old Style"/>
          <w:sz w:val="24"/>
          <w:szCs w:val="24"/>
        </w:rPr>
      </w:pPr>
      <w:r w:rsidRPr="009D08BE">
        <w:rPr>
          <w:rFonts w:ascii="Bookman Old Style" w:hAnsi="Bookman Old Style"/>
          <w:sz w:val="24"/>
          <w:szCs w:val="24"/>
        </w:rPr>
        <w:t xml:space="preserve">W styczniu 2015 r. wszedł w życie nowy Regulamin </w:t>
      </w:r>
      <w:r w:rsidR="00452F9A" w:rsidRPr="009D08BE">
        <w:rPr>
          <w:rFonts w:ascii="Bookman Old Style" w:hAnsi="Bookman Old Style"/>
          <w:sz w:val="24"/>
          <w:szCs w:val="24"/>
        </w:rPr>
        <w:t xml:space="preserve">wewnętrznego </w:t>
      </w:r>
      <w:r w:rsidRPr="009D08BE">
        <w:rPr>
          <w:rFonts w:ascii="Bookman Old Style" w:hAnsi="Bookman Old Style"/>
          <w:sz w:val="24"/>
          <w:szCs w:val="24"/>
        </w:rPr>
        <w:t>urzędowania powszechnych jednostek organizacyjnych prokuratury, który miał dostosować organizację prokuratury do wymogów kontradyktoryjnej procedury karnej. Regulamin ten, choć jest obowiązującym aktem prawnym, nie jest stoso</w:t>
      </w:r>
      <w:r w:rsidR="00452F9A" w:rsidRPr="009D08BE">
        <w:rPr>
          <w:rFonts w:ascii="Bookman Old Style" w:hAnsi="Bookman Old Style"/>
          <w:sz w:val="24"/>
          <w:szCs w:val="24"/>
        </w:rPr>
        <w:t xml:space="preserve">wany </w:t>
      </w:r>
      <w:r w:rsidRPr="009D08BE">
        <w:rPr>
          <w:rFonts w:ascii="Bookman Old Style" w:hAnsi="Bookman Old Style"/>
          <w:sz w:val="24"/>
          <w:szCs w:val="24"/>
        </w:rPr>
        <w:t xml:space="preserve">w praktyce o czym była mowa powyżej. </w:t>
      </w:r>
      <w:r w:rsidRPr="009D08BE">
        <w:rPr>
          <w:rFonts w:ascii="Bookman Old Style" w:eastAsia="Calibri" w:hAnsi="Bookman Old Style" w:cs="Times New Roman"/>
          <w:sz w:val="24"/>
          <w:szCs w:val="24"/>
        </w:rPr>
        <w:t>Zgodnie ze stanowiskiem</w:t>
      </w:r>
      <w:r w:rsidRPr="009D08BE">
        <w:rPr>
          <w:rFonts w:ascii="Bookman Old Style" w:eastAsia="Times New Roman" w:hAnsi="Bookman Old Style" w:cs="Times New Roman"/>
          <w:sz w:val="24"/>
          <w:szCs w:val="24"/>
          <w:lang w:eastAsia="pl-PL"/>
        </w:rPr>
        <w:t xml:space="preserve"> Rady Głównej Związku zmianom procedury karnej winny towarzyszyć równolegle prowadzone gruntowne reformy ustrojowe prokuratury w zakresie umożliwiającym prokuratorom zajmującym się na co dzień prowadzeniem i nadzorowan</w:t>
      </w:r>
      <w:r w:rsidR="009D08BE" w:rsidRPr="009D08BE">
        <w:rPr>
          <w:rFonts w:ascii="Bookman Old Style" w:eastAsia="Times New Roman" w:hAnsi="Bookman Old Style" w:cs="Times New Roman"/>
          <w:sz w:val="24"/>
          <w:szCs w:val="24"/>
          <w:lang w:eastAsia="pl-PL"/>
        </w:rPr>
        <w:t>iem postępowań przygotowawczych</w:t>
      </w:r>
      <w:r w:rsidRPr="009D08BE">
        <w:rPr>
          <w:rFonts w:ascii="Bookman Old Style" w:eastAsia="Times New Roman" w:hAnsi="Bookman Old Style" w:cs="Times New Roman"/>
          <w:sz w:val="24"/>
          <w:szCs w:val="24"/>
          <w:lang w:eastAsia="pl-PL"/>
        </w:rPr>
        <w:t xml:space="preserve"> dostosowanie specyfiki pracy do dodatkowych obowiązków. W naszej ocenie, dostosowanie ustrojowe prokuratury do nowego modelu </w:t>
      </w:r>
      <w:proofErr w:type="spellStart"/>
      <w:r w:rsidRPr="009D08BE">
        <w:rPr>
          <w:rFonts w:ascii="Bookman Old Style" w:eastAsia="Times New Roman" w:hAnsi="Bookman Old Style" w:cs="Times New Roman"/>
          <w:sz w:val="24"/>
          <w:szCs w:val="24"/>
          <w:lang w:eastAsia="pl-PL"/>
        </w:rPr>
        <w:t>kpk</w:t>
      </w:r>
      <w:proofErr w:type="spellEnd"/>
      <w:r w:rsidRPr="009D08BE">
        <w:rPr>
          <w:rFonts w:ascii="Bookman Old Style" w:eastAsia="Times New Roman" w:hAnsi="Bookman Old Style" w:cs="Times New Roman"/>
          <w:sz w:val="24"/>
          <w:szCs w:val="24"/>
          <w:lang w:eastAsia="pl-PL"/>
        </w:rPr>
        <w:t xml:space="preserve"> wymaga </w:t>
      </w:r>
      <w:r w:rsidR="00F4213D">
        <w:rPr>
          <w:rFonts w:ascii="Bookman Old Style" w:eastAsia="Times New Roman" w:hAnsi="Bookman Old Style" w:cs="Times New Roman"/>
          <w:sz w:val="24"/>
          <w:szCs w:val="24"/>
          <w:lang w:eastAsia="pl-PL"/>
        </w:rPr>
        <w:br/>
      </w:r>
      <w:r w:rsidRPr="009D08BE">
        <w:rPr>
          <w:rFonts w:ascii="Bookman Old Style" w:eastAsia="Times New Roman" w:hAnsi="Bookman Old Style" w:cs="Times New Roman"/>
          <w:sz w:val="24"/>
          <w:szCs w:val="24"/>
          <w:lang w:eastAsia="pl-PL"/>
        </w:rPr>
        <w:t xml:space="preserve">w szczególności: </w:t>
      </w:r>
    </w:p>
    <w:p w:rsidR="005652F0" w:rsidRPr="005652F0" w:rsidRDefault="005652F0" w:rsidP="009D08BE">
      <w:pPr>
        <w:spacing w:after="0" w:line="360" w:lineRule="auto"/>
        <w:jc w:val="both"/>
        <w:rPr>
          <w:rFonts w:ascii="Bookman Old Style" w:eastAsia="Times New Roman" w:hAnsi="Bookman Old Style" w:cs="Times New Roman"/>
          <w:sz w:val="24"/>
          <w:szCs w:val="24"/>
          <w:lang w:eastAsia="pl-PL"/>
        </w:rPr>
      </w:pPr>
    </w:p>
    <w:p w:rsidR="005652F0" w:rsidRPr="005652F0" w:rsidRDefault="005652F0" w:rsidP="009D08BE">
      <w:pPr>
        <w:spacing w:after="0" w:line="360" w:lineRule="auto"/>
        <w:jc w:val="both"/>
        <w:rPr>
          <w:rFonts w:ascii="Bookman Old Style" w:eastAsia="Times New Roman" w:hAnsi="Bookman Old Style" w:cs="Times New Roman"/>
          <w:sz w:val="24"/>
          <w:szCs w:val="24"/>
          <w:lang w:eastAsia="pl-PL"/>
        </w:rPr>
      </w:pPr>
      <w:r w:rsidRPr="005652F0">
        <w:rPr>
          <w:rFonts w:ascii="Bookman Old Style" w:eastAsia="Times New Roman" w:hAnsi="Bookman Old Style" w:cs="Times New Roman"/>
          <w:sz w:val="24"/>
          <w:szCs w:val="24"/>
          <w:lang w:eastAsia="pl-PL"/>
        </w:rPr>
        <w:t xml:space="preserve">Po pierwsze, wprowadzenia zasady powiązania prokuratora referenta ze sprawą od samego początku, aż do jego prawomocnego zakończenia </w:t>
      </w:r>
      <w:r w:rsidR="00F4213D" w:rsidRPr="003767EC">
        <w:rPr>
          <w:rFonts w:ascii="Bookman Old Style" w:eastAsia="Times New Roman" w:hAnsi="Bookman Old Style" w:cs="Times New Roman"/>
          <w:sz w:val="24"/>
          <w:szCs w:val="24"/>
          <w:lang w:eastAsia="pl-PL"/>
        </w:rPr>
        <w:br/>
      </w:r>
      <w:r w:rsidRPr="005652F0">
        <w:rPr>
          <w:rFonts w:ascii="Bookman Old Style" w:eastAsia="Times New Roman" w:hAnsi="Bookman Old Style" w:cs="Times New Roman"/>
          <w:sz w:val="24"/>
          <w:szCs w:val="24"/>
          <w:lang w:eastAsia="pl-PL"/>
        </w:rPr>
        <w:t>z uwzględnieniem postępowań przed sądami wszystkich instancji i Sadem Najwyższym</w:t>
      </w:r>
      <w:r w:rsidRPr="005652F0">
        <w:rPr>
          <w:rFonts w:ascii="Bookman Old Style" w:eastAsia="Times New Roman" w:hAnsi="Bookman Old Style" w:cs="Times New Roman"/>
          <w:b/>
          <w:sz w:val="24"/>
          <w:szCs w:val="24"/>
          <w:lang w:eastAsia="pl-PL"/>
        </w:rPr>
        <w:t>.</w:t>
      </w:r>
      <w:r w:rsidRPr="005652F0">
        <w:rPr>
          <w:rFonts w:ascii="Bookman Old Style" w:eastAsia="Times New Roman" w:hAnsi="Bookman Old Style" w:cs="Times New Roman"/>
          <w:sz w:val="24"/>
          <w:szCs w:val="24"/>
          <w:lang w:eastAsia="pl-PL"/>
        </w:rPr>
        <w:t xml:space="preserve"> Konieczność taka jawi się jako bezdyskusyjna</w:t>
      </w:r>
      <w:r w:rsidR="002C33A7" w:rsidRPr="009D08BE">
        <w:rPr>
          <w:rFonts w:ascii="Bookman Old Style" w:eastAsia="Times New Roman" w:hAnsi="Bookman Old Style" w:cs="Times New Roman"/>
          <w:sz w:val="24"/>
          <w:szCs w:val="24"/>
          <w:lang w:eastAsia="pl-PL"/>
        </w:rPr>
        <w:t xml:space="preserve"> w nowe</w:t>
      </w:r>
      <w:r w:rsidR="009D08BE" w:rsidRPr="009D08BE">
        <w:rPr>
          <w:rFonts w:ascii="Bookman Old Style" w:eastAsia="Times New Roman" w:hAnsi="Bookman Old Style" w:cs="Times New Roman"/>
          <w:sz w:val="24"/>
          <w:szCs w:val="24"/>
          <w:lang w:eastAsia="pl-PL"/>
        </w:rPr>
        <w:t>j</w:t>
      </w:r>
      <w:r w:rsidR="002C33A7" w:rsidRPr="009D08BE">
        <w:rPr>
          <w:rFonts w:ascii="Bookman Old Style" w:eastAsia="Times New Roman" w:hAnsi="Bookman Old Style" w:cs="Times New Roman"/>
          <w:sz w:val="24"/>
          <w:szCs w:val="24"/>
          <w:lang w:eastAsia="pl-PL"/>
        </w:rPr>
        <w:t>, kontradyktoryjnej procedurze karnej. Jej konstrukcja</w:t>
      </w:r>
      <w:r w:rsidRPr="005652F0">
        <w:rPr>
          <w:rFonts w:ascii="Bookman Old Style" w:eastAsia="Times New Roman" w:hAnsi="Bookman Old Style" w:cs="Times New Roman"/>
          <w:sz w:val="24"/>
          <w:szCs w:val="24"/>
          <w:lang w:eastAsia="pl-PL"/>
        </w:rPr>
        <w:t xml:space="preserve"> wymaga od prokuratora</w:t>
      </w:r>
      <w:r w:rsidR="002C33A7" w:rsidRPr="009D08BE">
        <w:rPr>
          <w:rFonts w:ascii="Bookman Old Style" w:eastAsia="Times New Roman" w:hAnsi="Bookman Old Style" w:cs="Times New Roman"/>
          <w:sz w:val="24"/>
          <w:szCs w:val="24"/>
          <w:lang w:eastAsia="pl-PL"/>
        </w:rPr>
        <w:t>,</w:t>
      </w:r>
      <w:r w:rsidRPr="005652F0">
        <w:rPr>
          <w:rFonts w:ascii="Bookman Old Style" w:eastAsia="Times New Roman" w:hAnsi="Bookman Old Style" w:cs="Times New Roman"/>
          <w:sz w:val="24"/>
          <w:szCs w:val="24"/>
          <w:lang w:eastAsia="pl-PL"/>
        </w:rPr>
        <w:t xml:space="preserve"> jako strony procesu</w:t>
      </w:r>
      <w:r w:rsidR="002C33A7" w:rsidRPr="009D08BE">
        <w:rPr>
          <w:rFonts w:ascii="Bookman Old Style" w:eastAsia="Times New Roman" w:hAnsi="Bookman Old Style" w:cs="Times New Roman"/>
          <w:sz w:val="24"/>
          <w:szCs w:val="24"/>
          <w:lang w:eastAsia="pl-PL"/>
        </w:rPr>
        <w:t>,</w:t>
      </w:r>
      <w:r w:rsidRPr="005652F0">
        <w:rPr>
          <w:rFonts w:ascii="Bookman Old Style" w:eastAsia="Times New Roman" w:hAnsi="Bookman Old Style" w:cs="Times New Roman"/>
          <w:sz w:val="24"/>
          <w:szCs w:val="24"/>
          <w:lang w:eastAsia="pl-PL"/>
        </w:rPr>
        <w:t xml:space="preserve"> bezwzględnej znajomości akt  postępowania sądowego i stosownego przygotowania do udziału w rozprawie </w:t>
      </w:r>
      <w:r w:rsidRPr="005652F0">
        <w:rPr>
          <w:rFonts w:ascii="Bookman Old Style" w:eastAsia="Times New Roman" w:hAnsi="Bookman Old Style" w:cs="Times New Roman"/>
          <w:sz w:val="24"/>
          <w:szCs w:val="24"/>
          <w:lang w:eastAsia="pl-PL"/>
        </w:rPr>
        <w:lastRenderedPageBreak/>
        <w:t xml:space="preserve">głównej. Konieczność powiazania prokuratora referenta ze sprawą przed sądem II instancji wynika z kolei z zmiany modelu postępowania odwoławczego, w którym w miejsce dominującego obecnie pierwiastka </w:t>
      </w:r>
      <w:proofErr w:type="spellStart"/>
      <w:r w:rsidRPr="005652F0">
        <w:rPr>
          <w:rFonts w:ascii="Bookman Old Style" w:eastAsia="Times New Roman" w:hAnsi="Bookman Old Style" w:cs="Times New Roman"/>
          <w:sz w:val="24"/>
          <w:szCs w:val="24"/>
          <w:lang w:eastAsia="pl-PL"/>
        </w:rPr>
        <w:t>kasatoryjnego</w:t>
      </w:r>
      <w:proofErr w:type="spellEnd"/>
      <w:r w:rsidRPr="005652F0">
        <w:rPr>
          <w:rFonts w:ascii="Bookman Old Style" w:eastAsia="Times New Roman" w:hAnsi="Bookman Old Style" w:cs="Times New Roman"/>
          <w:sz w:val="24"/>
          <w:szCs w:val="24"/>
          <w:lang w:eastAsia="pl-PL"/>
        </w:rPr>
        <w:t xml:space="preserve">, pojawi się szeroka możliwość rozstrzygnięć </w:t>
      </w:r>
      <w:proofErr w:type="spellStart"/>
      <w:r w:rsidRPr="005652F0">
        <w:rPr>
          <w:rFonts w:ascii="Bookman Old Style" w:eastAsia="Times New Roman" w:hAnsi="Bookman Old Style" w:cs="Times New Roman"/>
          <w:sz w:val="24"/>
          <w:szCs w:val="24"/>
          <w:lang w:eastAsia="pl-PL"/>
        </w:rPr>
        <w:t>reformatoryjnych</w:t>
      </w:r>
      <w:proofErr w:type="spellEnd"/>
      <w:r w:rsidRPr="005652F0">
        <w:rPr>
          <w:rFonts w:ascii="Bookman Old Style" w:eastAsia="Times New Roman" w:hAnsi="Bookman Old Style" w:cs="Times New Roman"/>
          <w:sz w:val="24"/>
          <w:szCs w:val="24"/>
          <w:lang w:eastAsia="pl-PL"/>
        </w:rPr>
        <w:t xml:space="preserve">, </w:t>
      </w:r>
      <w:r w:rsidR="00681178" w:rsidRPr="009D08BE">
        <w:rPr>
          <w:rFonts w:ascii="Bookman Old Style" w:eastAsia="Times New Roman" w:hAnsi="Bookman Old Style" w:cs="Times New Roman"/>
          <w:sz w:val="24"/>
          <w:szCs w:val="24"/>
          <w:lang w:eastAsia="pl-PL"/>
        </w:rPr>
        <w:br/>
      </w:r>
      <w:r w:rsidRPr="005652F0">
        <w:rPr>
          <w:rFonts w:ascii="Bookman Old Style" w:eastAsia="Times New Roman" w:hAnsi="Bookman Old Style" w:cs="Times New Roman"/>
          <w:sz w:val="24"/>
          <w:szCs w:val="24"/>
          <w:lang w:eastAsia="pl-PL"/>
        </w:rPr>
        <w:t xml:space="preserve">w związku umożliwieniem sądowi II instancji prowadzenia postępowania dowodowego, a także względami dobrze rozumianej ekonomiki procesowej.  </w:t>
      </w:r>
    </w:p>
    <w:p w:rsidR="005652F0" w:rsidRPr="005652F0" w:rsidRDefault="005652F0" w:rsidP="009D08BE">
      <w:pPr>
        <w:spacing w:after="0" w:line="360" w:lineRule="auto"/>
        <w:jc w:val="both"/>
        <w:rPr>
          <w:rFonts w:ascii="Bookman Old Style" w:eastAsia="Times New Roman" w:hAnsi="Bookman Old Style" w:cs="Times New Roman"/>
          <w:b/>
          <w:sz w:val="24"/>
          <w:szCs w:val="24"/>
          <w:lang w:eastAsia="pl-PL"/>
        </w:rPr>
      </w:pPr>
    </w:p>
    <w:p w:rsidR="005652F0" w:rsidRPr="005652F0" w:rsidRDefault="005652F0" w:rsidP="009D08BE">
      <w:pPr>
        <w:spacing w:after="0" w:line="360" w:lineRule="auto"/>
        <w:jc w:val="both"/>
        <w:rPr>
          <w:rFonts w:ascii="Bookman Old Style" w:eastAsia="Times New Roman" w:hAnsi="Bookman Old Style" w:cs="Times New Roman"/>
          <w:sz w:val="24"/>
          <w:szCs w:val="24"/>
          <w:lang w:eastAsia="pl-PL"/>
        </w:rPr>
      </w:pPr>
      <w:r w:rsidRPr="005652F0">
        <w:rPr>
          <w:rFonts w:ascii="Bookman Old Style" w:eastAsia="Times New Roman" w:hAnsi="Bookman Old Style" w:cs="Times New Roman"/>
          <w:sz w:val="24"/>
          <w:szCs w:val="24"/>
          <w:lang w:eastAsia="pl-PL"/>
        </w:rPr>
        <w:t>Po drugie, wprowadzenia zasady obowiązkowego referatu oskarżycielskiego dla każdego prokuratora bez wyjątków, co umożliwiłoby równomierny podział nowych obowiązków na wszystkich prokuratorów, a nie tylko nieco ponad 60 %, którzy obecnie zajmują się prowadzeniem i nadzorowaniem postępowań przygotowawczych. Wprowadzeniu tej zas</w:t>
      </w:r>
      <w:r w:rsidR="00681178" w:rsidRPr="009D08BE">
        <w:rPr>
          <w:rFonts w:ascii="Bookman Old Style" w:eastAsia="Times New Roman" w:hAnsi="Bookman Old Style" w:cs="Times New Roman"/>
          <w:sz w:val="24"/>
          <w:szCs w:val="24"/>
          <w:lang w:eastAsia="pl-PL"/>
        </w:rPr>
        <w:t>ady powinna towarzyszyć ustawowa deregulacja</w:t>
      </w:r>
      <w:r w:rsidRPr="005652F0">
        <w:rPr>
          <w:rFonts w:ascii="Bookman Old Style" w:eastAsia="Times New Roman" w:hAnsi="Bookman Old Style" w:cs="Times New Roman"/>
          <w:sz w:val="24"/>
          <w:szCs w:val="24"/>
          <w:lang w:eastAsia="pl-PL"/>
        </w:rPr>
        <w:t xml:space="preserve"> obowiązków prokuratorów w prokuraturach apelacyjnych oraz okręgowych związanych z nadzorem, </w:t>
      </w:r>
      <w:r w:rsidR="002C33A7" w:rsidRPr="009D08BE">
        <w:rPr>
          <w:rFonts w:ascii="Bookman Old Style" w:eastAsia="Times New Roman" w:hAnsi="Bookman Old Style" w:cs="Times New Roman"/>
          <w:sz w:val="24"/>
          <w:szCs w:val="24"/>
          <w:lang w:eastAsia="pl-PL"/>
        </w:rPr>
        <w:t xml:space="preserve">lustracjami, wizytacjami, </w:t>
      </w:r>
      <w:r w:rsidRPr="005652F0">
        <w:rPr>
          <w:rFonts w:ascii="Bookman Old Style" w:eastAsia="Times New Roman" w:hAnsi="Bookman Old Style" w:cs="Times New Roman"/>
          <w:sz w:val="24"/>
          <w:szCs w:val="24"/>
          <w:lang w:eastAsia="pl-PL"/>
        </w:rPr>
        <w:t xml:space="preserve">cenami okresowymi, </w:t>
      </w:r>
      <w:r w:rsidR="002C33A7" w:rsidRPr="009D08BE">
        <w:rPr>
          <w:rFonts w:ascii="Bookman Old Style" w:eastAsia="Times New Roman" w:hAnsi="Bookman Old Style" w:cs="Times New Roman"/>
          <w:sz w:val="24"/>
          <w:szCs w:val="24"/>
          <w:lang w:eastAsia="pl-PL"/>
        </w:rPr>
        <w:t>konkursami na wolne stanowiska prokuratorski</w:t>
      </w:r>
      <w:r w:rsidR="009D08BE" w:rsidRPr="009D08BE">
        <w:rPr>
          <w:rFonts w:ascii="Bookman Old Style" w:eastAsia="Times New Roman" w:hAnsi="Bookman Old Style" w:cs="Times New Roman"/>
          <w:sz w:val="24"/>
          <w:szCs w:val="24"/>
          <w:lang w:eastAsia="pl-PL"/>
        </w:rPr>
        <w:t>e</w:t>
      </w:r>
      <w:r w:rsidR="002C33A7" w:rsidRPr="009D08BE">
        <w:rPr>
          <w:rFonts w:ascii="Bookman Old Style" w:eastAsia="Times New Roman" w:hAnsi="Bookman Old Style" w:cs="Times New Roman"/>
          <w:sz w:val="24"/>
          <w:szCs w:val="24"/>
          <w:lang w:eastAsia="pl-PL"/>
        </w:rPr>
        <w:t xml:space="preserve">, </w:t>
      </w:r>
      <w:r w:rsidRPr="005652F0">
        <w:rPr>
          <w:rFonts w:ascii="Bookman Old Style" w:eastAsia="Times New Roman" w:hAnsi="Bookman Old Style" w:cs="Times New Roman"/>
          <w:sz w:val="24"/>
          <w:szCs w:val="24"/>
          <w:lang w:eastAsia="pl-PL"/>
        </w:rPr>
        <w:t>sprawozdawczością, międzynarodowym obrotem prawnym, czy też rozstrzyganiem sporów kompetencyjnych,</w:t>
      </w:r>
      <w:r w:rsidR="009D08BE" w:rsidRPr="009D08BE">
        <w:rPr>
          <w:rFonts w:ascii="Bookman Old Style" w:eastAsia="Times New Roman" w:hAnsi="Bookman Old Style" w:cs="Times New Roman"/>
          <w:sz w:val="24"/>
          <w:szCs w:val="24"/>
          <w:lang w:eastAsia="pl-PL"/>
        </w:rPr>
        <w:t xml:space="preserve"> a także zmiany strukturalne </w:t>
      </w:r>
      <w:r w:rsidR="003767EC">
        <w:rPr>
          <w:rFonts w:ascii="Bookman Old Style" w:eastAsia="Times New Roman" w:hAnsi="Bookman Old Style" w:cs="Times New Roman"/>
          <w:sz w:val="24"/>
          <w:szCs w:val="24"/>
          <w:lang w:eastAsia="pl-PL"/>
        </w:rPr>
        <w:br/>
      </w:r>
      <w:r w:rsidR="009D08BE" w:rsidRPr="009D08BE">
        <w:rPr>
          <w:rFonts w:ascii="Bookman Old Style" w:eastAsia="Times New Roman" w:hAnsi="Bookman Old Style" w:cs="Times New Roman"/>
          <w:sz w:val="24"/>
          <w:szCs w:val="24"/>
          <w:lang w:eastAsia="pl-PL"/>
        </w:rPr>
        <w:t>w prokuraturach a</w:t>
      </w:r>
      <w:r w:rsidRPr="005652F0">
        <w:rPr>
          <w:rFonts w:ascii="Bookman Old Style" w:eastAsia="Times New Roman" w:hAnsi="Bookman Old Style" w:cs="Times New Roman"/>
          <w:sz w:val="24"/>
          <w:szCs w:val="24"/>
          <w:lang w:eastAsia="pl-PL"/>
        </w:rPr>
        <w:t xml:space="preserve">pelacyjnych, w których spośród wszystkich wydziałów jedynie jeden zajmuje się prowadzeniem postepowań oraz w Okręgowych, </w:t>
      </w:r>
      <w:r w:rsidR="003767EC">
        <w:rPr>
          <w:rFonts w:ascii="Bookman Old Style" w:eastAsia="Times New Roman" w:hAnsi="Bookman Old Style" w:cs="Times New Roman"/>
          <w:sz w:val="24"/>
          <w:szCs w:val="24"/>
          <w:lang w:eastAsia="pl-PL"/>
        </w:rPr>
        <w:br/>
      </w:r>
      <w:r w:rsidRPr="005652F0">
        <w:rPr>
          <w:rFonts w:ascii="Bookman Old Style" w:eastAsia="Times New Roman" w:hAnsi="Bookman Old Style" w:cs="Times New Roman"/>
          <w:sz w:val="24"/>
          <w:szCs w:val="24"/>
          <w:lang w:eastAsia="pl-PL"/>
        </w:rPr>
        <w:t xml:space="preserve">w których spośród istniejących wydziałów tylko dwa wykonują tego rodzaju obowiązki. </w:t>
      </w:r>
    </w:p>
    <w:p w:rsidR="005652F0" w:rsidRPr="005652F0" w:rsidRDefault="005652F0" w:rsidP="009D08BE">
      <w:pPr>
        <w:spacing w:after="0" w:line="360" w:lineRule="auto"/>
        <w:jc w:val="both"/>
        <w:rPr>
          <w:rFonts w:ascii="Bookman Old Style" w:eastAsia="Times New Roman" w:hAnsi="Bookman Old Style" w:cs="Times New Roman"/>
          <w:b/>
          <w:sz w:val="24"/>
          <w:szCs w:val="24"/>
          <w:lang w:eastAsia="pl-PL"/>
        </w:rPr>
      </w:pPr>
    </w:p>
    <w:p w:rsidR="005652F0" w:rsidRPr="005652F0" w:rsidRDefault="005652F0" w:rsidP="009D08BE">
      <w:pPr>
        <w:spacing w:after="0" w:line="360" w:lineRule="auto"/>
        <w:jc w:val="both"/>
        <w:rPr>
          <w:rFonts w:ascii="Bookman Old Style" w:eastAsia="Times New Roman" w:hAnsi="Bookman Old Style" w:cs="Times New Roman"/>
          <w:sz w:val="24"/>
          <w:szCs w:val="24"/>
          <w:lang w:eastAsia="pl-PL"/>
        </w:rPr>
      </w:pPr>
      <w:r w:rsidRPr="005652F0">
        <w:rPr>
          <w:rFonts w:ascii="Bookman Old Style" w:eastAsia="Times New Roman" w:hAnsi="Bookman Old Style" w:cs="Times New Roman"/>
          <w:sz w:val="24"/>
          <w:szCs w:val="24"/>
          <w:lang w:eastAsia="pl-PL"/>
        </w:rPr>
        <w:t xml:space="preserve">Po trzecie, możliwie szerokiego określenia właściwości rzeczowej prokuratur okręgowych i apelacyjnych, tak aby obciążenie i odpowiedzialność za podejmowane decyzje procesowe prokuratorów zatrudnionych na tych szczeblach było równomierne z obciążeniem prokuratorów prokuratur rejonowych, którzy w obecnym stanie rzeczy zajmują się prowadzeniem większości </w:t>
      </w:r>
      <w:r w:rsidR="00681178" w:rsidRPr="003767EC">
        <w:rPr>
          <w:rFonts w:ascii="Bookman Old Style" w:eastAsia="Times New Roman" w:hAnsi="Bookman Old Style" w:cs="Times New Roman"/>
          <w:sz w:val="24"/>
          <w:szCs w:val="24"/>
          <w:lang w:eastAsia="pl-PL"/>
        </w:rPr>
        <w:t xml:space="preserve">postępowań ale przy założeniu, że postępowania przygotowawcze prowadzą nie tylko prokuratorzy wykonujący swoje obowiązki w tzw. wydziałach liniowych. </w:t>
      </w:r>
    </w:p>
    <w:p w:rsidR="005652F0" w:rsidRPr="005652F0" w:rsidRDefault="005652F0" w:rsidP="009D08BE">
      <w:pPr>
        <w:spacing w:after="0" w:line="360" w:lineRule="auto"/>
        <w:jc w:val="both"/>
        <w:rPr>
          <w:rFonts w:ascii="Bookman Old Style" w:eastAsia="Times New Roman" w:hAnsi="Bookman Old Style" w:cs="Times New Roman"/>
          <w:sz w:val="24"/>
          <w:szCs w:val="24"/>
          <w:lang w:eastAsia="pl-PL"/>
        </w:rPr>
      </w:pPr>
    </w:p>
    <w:p w:rsidR="005652F0" w:rsidRDefault="005652F0" w:rsidP="009D08BE">
      <w:pPr>
        <w:spacing w:before="100" w:beforeAutospacing="1" w:after="100" w:afterAutospacing="1" w:line="360" w:lineRule="auto"/>
        <w:jc w:val="both"/>
        <w:rPr>
          <w:rFonts w:ascii="Bookman Old Style" w:eastAsia="Times New Roman" w:hAnsi="Bookman Old Style" w:cs="Times New Roman"/>
          <w:sz w:val="24"/>
          <w:szCs w:val="24"/>
          <w:lang w:eastAsia="pl-PL"/>
        </w:rPr>
      </w:pPr>
      <w:r w:rsidRPr="005652F0">
        <w:rPr>
          <w:rFonts w:ascii="Bookman Old Style" w:eastAsia="Times New Roman" w:hAnsi="Bookman Old Style" w:cs="Times New Roman"/>
          <w:sz w:val="24"/>
          <w:szCs w:val="24"/>
          <w:lang w:eastAsia="pl-PL"/>
        </w:rPr>
        <w:lastRenderedPageBreak/>
        <w:t xml:space="preserve">Po czwarte, rozbudowy poprzez </w:t>
      </w:r>
      <w:proofErr w:type="spellStart"/>
      <w:r w:rsidRPr="005652F0">
        <w:rPr>
          <w:rFonts w:ascii="Bookman Old Style" w:eastAsia="Times New Roman" w:hAnsi="Bookman Old Style" w:cs="Times New Roman"/>
          <w:sz w:val="24"/>
          <w:szCs w:val="24"/>
          <w:lang w:eastAsia="pl-PL"/>
        </w:rPr>
        <w:t>doetatyzowanie</w:t>
      </w:r>
      <w:proofErr w:type="spellEnd"/>
      <w:r w:rsidRPr="005652F0">
        <w:rPr>
          <w:rFonts w:ascii="Bookman Old Style" w:eastAsia="Times New Roman" w:hAnsi="Bookman Old Style" w:cs="Times New Roman"/>
          <w:sz w:val="24"/>
          <w:szCs w:val="24"/>
          <w:lang w:eastAsia="pl-PL"/>
        </w:rPr>
        <w:t xml:space="preserve"> pionu wspomagającego prokuratorów – administracji i asystentów.</w:t>
      </w:r>
      <w:r w:rsidRPr="005652F0">
        <w:rPr>
          <w:rFonts w:ascii="Bookman Old Style" w:eastAsia="Times New Roman" w:hAnsi="Bookman Old Style" w:cs="Times New Roman"/>
          <w:b/>
          <w:sz w:val="24"/>
          <w:szCs w:val="24"/>
          <w:lang w:eastAsia="pl-PL"/>
        </w:rPr>
        <w:t xml:space="preserve"> </w:t>
      </w:r>
      <w:r w:rsidRPr="005652F0">
        <w:rPr>
          <w:rFonts w:ascii="Bookman Old Style" w:eastAsia="Times New Roman" w:hAnsi="Bookman Old Style" w:cs="Times New Roman"/>
          <w:sz w:val="24"/>
          <w:szCs w:val="24"/>
          <w:lang w:eastAsia="pl-PL"/>
        </w:rPr>
        <w:t xml:space="preserve">Jest to związane w powstaniem szeregu nowych obowiązków obciążających w istocie urzędników zatrudnionych w sekretariatach prokuratury. Asystenci prokuratora bowiem nie występują w prokuraturach rejonowych, które prowadzą 99,5 % postępowań. </w:t>
      </w:r>
      <w:r w:rsidR="002C33A7" w:rsidRPr="000C6CC9">
        <w:rPr>
          <w:rFonts w:ascii="Bookman Old Style" w:eastAsia="Times New Roman" w:hAnsi="Bookman Old Style" w:cs="Times New Roman"/>
          <w:bCs/>
          <w:sz w:val="24"/>
          <w:szCs w:val="24"/>
          <w:lang w:eastAsia="pl-PL"/>
        </w:rPr>
        <w:t>limit etatów asystentów w sądach wynosi - 3414</w:t>
      </w:r>
      <w:r w:rsidR="002C33A7" w:rsidRPr="000C6CC9">
        <w:rPr>
          <w:rFonts w:ascii="Bookman Old Style" w:eastAsia="Times New Roman" w:hAnsi="Bookman Old Style" w:cs="Times New Roman"/>
          <w:sz w:val="24"/>
          <w:szCs w:val="24"/>
          <w:lang w:eastAsia="pl-PL"/>
        </w:rPr>
        <w:t xml:space="preserve"> (przy limicie etatów sędziowskich wynoszącym 10.448), natomiast w prokuraturach </w:t>
      </w:r>
      <w:r w:rsidR="002C33A7" w:rsidRPr="000C6CC9">
        <w:rPr>
          <w:rFonts w:ascii="Bookman Old Style" w:eastAsia="Times New Roman" w:hAnsi="Bookman Old Style" w:cs="Times New Roman"/>
          <w:bCs/>
          <w:sz w:val="24"/>
          <w:szCs w:val="24"/>
          <w:lang w:eastAsia="pl-PL"/>
        </w:rPr>
        <w:t>limit etatów asystentów prokuratorów wynosi - 253</w:t>
      </w:r>
      <w:r w:rsidR="002C33A7" w:rsidRPr="000C6CC9">
        <w:rPr>
          <w:rFonts w:ascii="Bookman Old Style" w:eastAsia="Times New Roman" w:hAnsi="Bookman Old Style" w:cs="Times New Roman"/>
          <w:sz w:val="24"/>
          <w:szCs w:val="24"/>
          <w:lang w:eastAsia="pl-PL"/>
        </w:rPr>
        <w:t>, a analityków kryminalnych -122, co daje łącznie kadrę wspierającą pracę prokuratora - w ilości 375 etatów (przy limicie etatów prokuratorskich i asesorskich wynoszącym 6.428).</w:t>
      </w:r>
      <w:r w:rsidR="00681178" w:rsidRPr="009D08BE">
        <w:rPr>
          <w:rFonts w:ascii="Bookman Old Style" w:eastAsia="Times New Roman" w:hAnsi="Bookman Old Style" w:cs="Times New Roman"/>
          <w:sz w:val="24"/>
          <w:szCs w:val="24"/>
          <w:lang w:eastAsia="pl-PL"/>
        </w:rPr>
        <w:t xml:space="preserve"> </w:t>
      </w:r>
      <w:r w:rsidR="002C33A7" w:rsidRPr="000C6CC9">
        <w:rPr>
          <w:rFonts w:ascii="Bookman Old Style" w:eastAsia="Times New Roman" w:hAnsi="Bookman Old Style" w:cs="Times New Roman"/>
          <w:sz w:val="24"/>
          <w:szCs w:val="24"/>
          <w:lang w:eastAsia="pl-PL"/>
        </w:rPr>
        <w:t>Średnio 1 asystent sędziego przypada na 3 sędziów, a w prokuraturze 1 asystent prokuratora na 25 prokuratorów i 1 analityk kryminalny na 53 prokuratorów. Dysproporcje te tym bardziej są rażące, jeśli wziąć pod uwagę, że w nowym modelu postępowania karnego zakres obowiązków sędziego zmniejszy się.</w:t>
      </w:r>
      <w:r w:rsidR="00681178" w:rsidRPr="009D08BE">
        <w:rPr>
          <w:rFonts w:ascii="Bookman Old Style" w:eastAsia="Times New Roman" w:hAnsi="Bookman Old Style" w:cs="Times New Roman"/>
          <w:sz w:val="24"/>
          <w:szCs w:val="24"/>
          <w:lang w:eastAsia="pl-PL"/>
        </w:rPr>
        <w:t xml:space="preserve"> </w:t>
      </w:r>
      <w:r w:rsidRPr="005652F0">
        <w:rPr>
          <w:rFonts w:ascii="Bookman Old Style" w:eastAsia="Times New Roman" w:hAnsi="Bookman Old Style" w:cs="Times New Roman"/>
          <w:sz w:val="24"/>
          <w:szCs w:val="24"/>
          <w:lang w:eastAsia="pl-PL"/>
        </w:rPr>
        <w:t xml:space="preserve">Wśród nowych zadań wymienić miedzy innymi należy: konieczność selekcji materiałów zgromadzonych w postępowaniu na dołączane do akt kierowanych do sądu i pozostające w prokuraturze oraz przechowywania i archiwizacji tych ostatnich, konieczność wyodrębniania zbiorów </w:t>
      </w:r>
      <w:r w:rsidR="003767EC">
        <w:rPr>
          <w:rFonts w:ascii="Bookman Old Style" w:eastAsia="Times New Roman" w:hAnsi="Bookman Old Style" w:cs="Times New Roman"/>
          <w:sz w:val="24"/>
          <w:szCs w:val="24"/>
          <w:lang w:eastAsia="pl-PL"/>
        </w:rPr>
        <w:t xml:space="preserve">zawierających zeznania świadków </w:t>
      </w:r>
      <w:r w:rsidRPr="005652F0">
        <w:rPr>
          <w:rFonts w:ascii="Bookman Old Style" w:eastAsia="Times New Roman" w:hAnsi="Bookman Old Style" w:cs="Times New Roman"/>
          <w:sz w:val="24"/>
          <w:szCs w:val="24"/>
          <w:lang w:eastAsia="pl-PL"/>
        </w:rPr>
        <w:t xml:space="preserve">i podejrzanych przed skierowaniem sprawy do sądu, obowiązek kopiowania wszelkich dowodów </w:t>
      </w:r>
      <w:r w:rsidR="00242AF4">
        <w:rPr>
          <w:rFonts w:ascii="Bookman Old Style" w:eastAsia="Times New Roman" w:hAnsi="Bookman Old Style" w:cs="Times New Roman"/>
          <w:sz w:val="24"/>
          <w:szCs w:val="24"/>
          <w:lang w:eastAsia="pl-PL"/>
        </w:rPr>
        <w:br/>
      </w:r>
      <w:r w:rsidRPr="005652F0">
        <w:rPr>
          <w:rFonts w:ascii="Bookman Old Style" w:eastAsia="Times New Roman" w:hAnsi="Bookman Old Style" w:cs="Times New Roman"/>
          <w:sz w:val="24"/>
          <w:szCs w:val="24"/>
          <w:lang w:eastAsia="pl-PL"/>
        </w:rPr>
        <w:t>z przesłuchań świadków i podejrzanych oraz dołączania ich do akt podręcznych, celem zapewnienia możliwości ich odczytywania przez prokuratorów na kontradyktoryjnej rozprawie głównej, konieczność prowadzenia szczegółowych przeglądów akt podręcznych wraz z numeracją kart i dołączania do nich protokołów wszystkich rozpraw</w:t>
      </w:r>
      <w:r w:rsidRPr="009D08BE">
        <w:rPr>
          <w:rFonts w:ascii="Bookman Old Style" w:eastAsia="Times New Roman" w:hAnsi="Bookman Old Style" w:cs="Times New Roman"/>
          <w:sz w:val="24"/>
          <w:szCs w:val="24"/>
          <w:lang w:eastAsia="pl-PL"/>
        </w:rPr>
        <w:t xml:space="preserve">, konieczność powielania materiałów z uwagi na wymóg </w:t>
      </w:r>
      <w:proofErr w:type="spellStart"/>
      <w:r w:rsidRPr="009D08BE">
        <w:rPr>
          <w:rFonts w:ascii="Bookman Old Style" w:eastAsia="Times New Roman" w:hAnsi="Bookman Old Style" w:cs="Times New Roman"/>
          <w:sz w:val="24"/>
          <w:szCs w:val="24"/>
          <w:lang w:eastAsia="pl-PL"/>
        </w:rPr>
        <w:t>anonimizacji</w:t>
      </w:r>
      <w:proofErr w:type="spellEnd"/>
      <w:r w:rsidRPr="009D08BE">
        <w:rPr>
          <w:rFonts w:ascii="Bookman Old Style" w:eastAsia="Times New Roman" w:hAnsi="Bookman Old Style" w:cs="Times New Roman"/>
          <w:sz w:val="24"/>
          <w:szCs w:val="24"/>
          <w:lang w:eastAsia="pl-PL"/>
        </w:rPr>
        <w:t xml:space="preserve"> danych. </w:t>
      </w:r>
      <w:r w:rsidRPr="005652F0">
        <w:rPr>
          <w:rFonts w:ascii="Bookman Old Style" w:eastAsia="Times New Roman" w:hAnsi="Bookman Old Style" w:cs="Times New Roman"/>
          <w:sz w:val="24"/>
          <w:szCs w:val="24"/>
          <w:lang w:eastAsia="pl-PL"/>
        </w:rPr>
        <w:t xml:space="preserve">W związku ze znacznym wzrostem objętości akt podręcznych niezbędne będzie również ich sprawne dostarczanie do sądu. Za nieuniknione uznać należy również wypożyczanie akt przed rozprawą, celem zapoznania się z ich zawartością </w:t>
      </w:r>
      <w:r w:rsidR="009D08BE">
        <w:rPr>
          <w:rFonts w:ascii="Bookman Old Style" w:eastAsia="Times New Roman" w:hAnsi="Bookman Old Style" w:cs="Times New Roman"/>
          <w:sz w:val="24"/>
          <w:szCs w:val="24"/>
          <w:lang w:eastAsia="pl-PL"/>
        </w:rPr>
        <w:br/>
      </w:r>
      <w:r w:rsidRPr="005652F0">
        <w:rPr>
          <w:rFonts w:ascii="Bookman Old Style" w:eastAsia="Times New Roman" w:hAnsi="Bookman Old Style" w:cs="Times New Roman"/>
          <w:sz w:val="24"/>
          <w:szCs w:val="24"/>
          <w:lang w:eastAsia="pl-PL"/>
        </w:rPr>
        <w:t>i sporządzenia ewentualnych wniosków dowodowych.</w:t>
      </w:r>
      <w:r w:rsidR="002C33A7" w:rsidRPr="009D08BE">
        <w:rPr>
          <w:rFonts w:ascii="Bookman Old Style" w:eastAsia="Times New Roman" w:hAnsi="Bookman Old Style" w:cs="Times New Roman"/>
          <w:sz w:val="24"/>
          <w:szCs w:val="24"/>
          <w:lang w:eastAsia="pl-PL"/>
        </w:rPr>
        <w:t xml:space="preserve"> Pomimo zdecydowanego wzrostu obowiązków pionu administracyjnego Prokurator </w:t>
      </w:r>
      <w:r w:rsidR="00AE5CE6">
        <w:rPr>
          <w:rFonts w:ascii="Bookman Old Style" w:eastAsia="Times New Roman" w:hAnsi="Bookman Old Style" w:cs="Times New Roman"/>
          <w:sz w:val="24"/>
          <w:szCs w:val="24"/>
          <w:lang w:eastAsia="pl-PL"/>
        </w:rPr>
        <w:t xml:space="preserve">Generalny </w:t>
      </w:r>
      <w:r w:rsidR="00390F1A">
        <w:rPr>
          <w:rFonts w:ascii="Bookman Old Style" w:eastAsia="Times New Roman" w:hAnsi="Bookman Old Style" w:cs="Times New Roman"/>
          <w:sz w:val="24"/>
          <w:szCs w:val="24"/>
          <w:lang w:eastAsia="pl-PL"/>
        </w:rPr>
        <w:t>dopiero na niespełna tydzień przed wejściem w życie reformy podpisał nowe Zarządzenie</w:t>
      </w:r>
      <w:r w:rsidR="002C33A7" w:rsidRPr="009D08BE">
        <w:rPr>
          <w:rFonts w:ascii="Bookman Old Style" w:eastAsia="Times New Roman" w:hAnsi="Bookman Old Style" w:cs="Times New Roman"/>
          <w:sz w:val="24"/>
          <w:szCs w:val="24"/>
          <w:lang w:eastAsia="pl-PL"/>
        </w:rPr>
        <w:t xml:space="preserve"> </w:t>
      </w:r>
      <w:r w:rsidR="00F80409">
        <w:rPr>
          <w:rFonts w:ascii="Bookman Old Style" w:eastAsia="Times New Roman" w:hAnsi="Bookman Old Style" w:cs="Times New Roman"/>
          <w:sz w:val="24"/>
          <w:szCs w:val="24"/>
          <w:lang w:eastAsia="pl-PL"/>
        </w:rPr>
        <w:t>dotyczące</w:t>
      </w:r>
      <w:r w:rsidR="002C33A7" w:rsidRPr="009D08BE">
        <w:rPr>
          <w:rFonts w:ascii="Bookman Old Style" w:eastAsia="Times New Roman" w:hAnsi="Bookman Old Style" w:cs="Times New Roman"/>
          <w:sz w:val="24"/>
          <w:szCs w:val="24"/>
          <w:lang w:eastAsia="pl-PL"/>
        </w:rPr>
        <w:t xml:space="preserve"> organizacji prac</w:t>
      </w:r>
      <w:r w:rsidR="00F80409">
        <w:rPr>
          <w:rFonts w:ascii="Bookman Old Style" w:eastAsia="Times New Roman" w:hAnsi="Bookman Old Style" w:cs="Times New Roman"/>
          <w:sz w:val="24"/>
          <w:szCs w:val="24"/>
          <w:lang w:eastAsia="pl-PL"/>
        </w:rPr>
        <w:t>y</w:t>
      </w:r>
      <w:r w:rsidR="002C33A7" w:rsidRPr="009D08BE">
        <w:rPr>
          <w:rFonts w:ascii="Bookman Old Style" w:eastAsia="Times New Roman" w:hAnsi="Bookman Old Style" w:cs="Times New Roman"/>
          <w:sz w:val="24"/>
          <w:szCs w:val="24"/>
          <w:lang w:eastAsia="pl-PL"/>
        </w:rPr>
        <w:t xml:space="preserve"> sekretariatów. </w:t>
      </w:r>
      <w:r w:rsidR="00390F1A">
        <w:rPr>
          <w:rFonts w:ascii="Bookman Old Style" w:eastAsia="Times New Roman" w:hAnsi="Bookman Old Style" w:cs="Times New Roman"/>
          <w:sz w:val="24"/>
          <w:szCs w:val="24"/>
          <w:lang w:eastAsia="pl-PL"/>
        </w:rPr>
        <w:lastRenderedPageBreak/>
        <w:t>Zarządzenie to, podobnie jak w przypadku projektów rozporządzeń przygotowanych przez Ministerstwo Sprawiedliwości</w:t>
      </w:r>
      <w:r w:rsidR="00AE5CE6">
        <w:rPr>
          <w:rFonts w:ascii="Bookman Old Style" w:eastAsia="Times New Roman" w:hAnsi="Bookman Old Style" w:cs="Times New Roman"/>
          <w:sz w:val="24"/>
          <w:szCs w:val="24"/>
          <w:lang w:eastAsia="pl-PL"/>
        </w:rPr>
        <w:t>,</w:t>
      </w:r>
      <w:r w:rsidR="00390F1A">
        <w:rPr>
          <w:rFonts w:ascii="Bookman Old Style" w:eastAsia="Times New Roman" w:hAnsi="Bookman Old Style" w:cs="Times New Roman"/>
          <w:sz w:val="24"/>
          <w:szCs w:val="24"/>
          <w:lang w:eastAsia="pl-PL"/>
        </w:rPr>
        <w:t xml:space="preserve"> nie zostało poddane wymaganej przez prawo procedurze konsultacji społecznych. Pomimo radykalnego wzrostu obowiązków po stronie pionu administracyjnego od </w:t>
      </w:r>
      <w:r w:rsidR="003767EC">
        <w:rPr>
          <w:rFonts w:ascii="Bookman Old Style" w:eastAsia="Times New Roman" w:hAnsi="Bookman Old Style" w:cs="Times New Roman"/>
          <w:sz w:val="24"/>
          <w:szCs w:val="24"/>
          <w:lang w:eastAsia="pl-PL"/>
        </w:rPr>
        <w:br/>
      </w:r>
      <w:bookmarkStart w:id="0" w:name="_GoBack"/>
      <w:bookmarkEnd w:id="0"/>
      <w:r w:rsidR="00390F1A">
        <w:rPr>
          <w:rFonts w:ascii="Bookman Old Style" w:eastAsia="Times New Roman" w:hAnsi="Bookman Old Style" w:cs="Times New Roman"/>
          <w:sz w:val="24"/>
          <w:szCs w:val="24"/>
          <w:lang w:eastAsia="pl-PL"/>
        </w:rPr>
        <w:t xml:space="preserve">1 lipca 2015, poziom wynagrodzeń tej grupy zawodowej pozostał </w:t>
      </w:r>
      <w:r w:rsidR="00F80409">
        <w:rPr>
          <w:rFonts w:ascii="Bookman Old Style" w:eastAsia="Times New Roman" w:hAnsi="Bookman Old Style" w:cs="Times New Roman"/>
          <w:sz w:val="24"/>
          <w:szCs w:val="24"/>
          <w:lang w:eastAsia="pl-PL"/>
        </w:rPr>
        <w:t xml:space="preserve">niezmieniony </w:t>
      </w:r>
      <w:r w:rsidR="00390F1A">
        <w:rPr>
          <w:rFonts w:ascii="Bookman Old Style" w:eastAsia="Times New Roman" w:hAnsi="Bookman Old Style" w:cs="Times New Roman"/>
          <w:sz w:val="24"/>
          <w:szCs w:val="24"/>
          <w:lang w:eastAsia="pl-PL"/>
        </w:rPr>
        <w:t>od połowy lat dziewięćdziesiątych. Wynagrodzenia te nie są waloryzowane od 2009 r. Na fakt ten, już w 2013 r zwracała uwagę Komisja Sprawiedliwości i Praw Człowieka podkreślając w Dezyderacie z 18 kwietnia, że płace urzędników prokuratur oraz sądów nie odpowiadają godności wykonywanego zawodu oraz zakresowi obowiązków. Rekomendacje zawarte w D</w:t>
      </w:r>
      <w:r w:rsidR="00AE5CE6">
        <w:rPr>
          <w:rFonts w:ascii="Bookman Old Style" w:eastAsia="Times New Roman" w:hAnsi="Bookman Old Style" w:cs="Times New Roman"/>
          <w:sz w:val="24"/>
          <w:szCs w:val="24"/>
          <w:lang w:eastAsia="pl-PL"/>
        </w:rPr>
        <w:t xml:space="preserve">ezyderacie nie zostały </w:t>
      </w:r>
      <w:r w:rsidR="00390F1A">
        <w:rPr>
          <w:rFonts w:ascii="Bookman Old Style" w:eastAsia="Times New Roman" w:hAnsi="Bookman Old Style" w:cs="Times New Roman"/>
          <w:sz w:val="24"/>
          <w:szCs w:val="24"/>
          <w:lang w:eastAsia="pl-PL"/>
        </w:rPr>
        <w:t xml:space="preserve">w najmniejszym stopniu zrealizowane przez władze wykonawczą. W rezultacie zauważyć można odpływ doświadczonej kadry urzędniczej. Jest to tym bardziej niepokojące, że proces ten jest równoległy do reformy procedury karnej. </w:t>
      </w:r>
    </w:p>
    <w:p w:rsidR="005765B5" w:rsidRPr="00AE5CE6" w:rsidRDefault="00867A73" w:rsidP="00AE5CE6">
      <w:pPr>
        <w:spacing w:before="100" w:beforeAutospacing="1" w:after="100" w:afterAutospacing="1" w:line="360" w:lineRule="auto"/>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sz w:val="24"/>
          <w:szCs w:val="24"/>
          <w:lang w:eastAsia="pl-PL"/>
        </w:rPr>
        <w:t xml:space="preserve">Dodatkowe problemy na kilka dni przed wejściem w życie nowej procedury karnej mają charakter techniczny. W miejscu utknęła informatyzacja prokuratury. Nowy sprzęt znalazł się w prokuraturach apelacyjnych </w:t>
      </w:r>
      <w:r>
        <w:rPr>
          <w:rFonts w:ascii="Bookman Old Style" w:eastAsia="Times New Roman" w:hAnsi="Bookman Old Style" w:cs="Times New Roman"/>
          <w:sz w:val="24"/>
          <w:szCs w:val="24"/>
          <w:lang w:eastAsia="pl-PL"/>
        </w:rPr>
        <w:br/>
      </w:r>
      <w:r w:rsidR="00AE5CE6">
        <w:rPr>
          <w:rFonts w:ascii="Bookman Old Style" w:eastAsia="Times New Roman" w:hAnsi="Bookman Old Style" w:cs="Times New Roman"/>
          <w:sz w:val="24"/>
          <w:szCs w:val="24"/>
          <w:lang w:eastAsia="pl-PL"/>
        </w:rPr>
        <w:t>i</w:t>
      </w:r>
      <w:r>
        <w:rPr>
          <w:rFonts w:ascii="Bookman Old Style" w:eastAsia="Times New Roman" w:hAnsi="Bookman Old Style" w:cs="Times New Roman"/>
          <w:sz w:val="24"/>
          <w:szCs w:val="24"/>
          <w:lang w:eastAsia="pl-PL"/>
        </w:rPr>
        <w:t xml:space="preserve"> okręgowych, a nie tam gdzie jego potrzeba jest największa, czyli </w:t>
      </w:r>
      <w:r w:rsidR="00F4213D">
        <w:rPr>
          <w:rFonts w:ascii="Bookman Old Style" w:eastAsia="Times New Roman" w:hAnsi="Bookman Old Style" w:cs="Times New Roman"/>
          <w:sz w:val="24"/>
          <w:szCs w:val="24"/>
          <w:lang w:eastAsia="pl-PL"/>
        </w:rPr>
        <w:br/>
      </w:r>
      <w:r>
        <w:rPr>
          <w:rFonts w:ascii="Bookman Old Style" w:eastAsia="Times New Roman" w:hAnsi="Bookman Old Style" w:cs="Times New Roman"/>
          <w:sz w:val="24"/>
          <w:szCs w:val="24"/>
          <w:lang w:eastAsia="pl-PL"/>
        </w:rPr>
        <w:t xml:space="preserve">w prokuraturach szczebla podstawowego, prowadzących 99 procent postepowań karnych. Tak szeroko reklamowana digitalizacja akt, obejmuje ułamek procenta prowadzonych spraw. Wprowadzenie jej we wszystkich sprawach wiąże się z koniecznością ogromnych nakładów finansowych </w:t>
      </w:r>
      <w:r w:rsidR="00F4213D">
        <w:rPr>
          <w:rFonts w:ascii="Bookman Old Style" w:eastAsia="Times New Roman" w:hAnsi="Bookman Old Style" w:cs="Times New Roman"/>
          <w:sz w:val="24"/>
          <w:szCs w:val="24"/>
          <w:lang w:eastAsia="pl-PL"/>
        </w:rPr>
        <w:br/>
      </w:r>
      <w:r>
        <w:rPr>
          <w:rFonts w:ascii="Bookman Old Style" w:eastAsia="Times New Roman" w:hAnsi="Bookman Old Style" w:cs="Times New Roman"/>
          <w:sz w:val="24"/>
          <w:szCs w:val="24"/>
          <w:lang w:eastAsia="pl-PL"/>
        </w:rPr>
        <w:t xml:space="preserve">i zatrudnienia setek nowych pracowników do obsługi systemu. Digitalizacja jednego tomu akt trwa bowiem około godziny. Brak digitalizacji oznacza, że </w:t>
      </w:r>
      <w:r w:rsidR="00AE5CE6">
        <w:rPr>
          <w:rFonts w:ascii="Bookman Old Style" w:eastAsia="Times New Roman" w:hAnsi="Bookman Old Style" w:cs="Times New Roman"/>
          <w:sz w:val="24"/>
          <w:szCs w:val="24"/>
          <w:lang w:eastAsia="pl-PL"/>
        </w:rPr>
        <w:br/>
      </w:r>
      <w:r>
        <w:rPr>
          <w:rFonts w:ascii="Bookman Old Style" w:eastAsia="Times New Roman" w:hAnsi="Bookman Old Style" w:cs="Times New Roman"/>
          <w:sz w:val="24"/>
          <w:szCs w:val="24"/>
          <w:lang w:eastAsia="pl-PL"/>
        </w:rPr>
        <w:t>1 lipca 2015 na sądową salę wejdzie prokurator pozbawiony elektronicznego dostępu do materiałów sprawy, w szczególności protokołów przesłuchań świadków i podejrzanych, które teraz będzie musiał odczytywać. W rezultacie protokoły te będą powielane do akt podręcznych, co spowoduje czasem kilkukrotny wzrost ich objętości. Dotychczas nie wypracowano jakiejkolwiek metodyki dostarczania akt na wokandę sądową, co przy ich zwięks</w:t>
      </w:r>
      <w:r w:rsidR="00AE5CE6">
        <w:rPr>
          <w:rFonts w:ascii="Bookman Old Style" w:eastAsia="Times New Roman" w:hAnsi="Bookman Old Style" w:cs="Times New Roman"/>
          <w:sz w:val="24"/>
          <w:szCs w:val="24"/>
          <w:lang w:eastAsia="pl-PL"/>
        </w:rPr>
        <w:t>zonej objętości staje się sprawą</w:t>
      </w:r>
      <w:r>
        <w:rPr>
          <w:rFonts w:ascii="Bookman Old Style" w:eastAsia="Times New Roman" w:hAnsi="Bookman Old Style" w:cs="Times New Roman"/>
          <w:sz w:val="24"/>
          <w:szCs w:val="24"/>
          <w:lang w:eastAsia="pl-PL"/>
        </w:rPr>
        <w:t xml:space="preserve"> o kluczowym znaczeniu. </w:t>
      </w:r>
      <w:r w:rsidR="004F560B">
        <w:rPr>
          <w:rFonts w:ascii="Bookman Old Style" w:eastAsia="Times New Roman" w:hAnsi="Bookman Old Style" w:cs="Times New Roman"/>
          <w:sz w:val="24"/>
          <w:szCs w:val="24"/>
          <w:lang w:eastAsia="pl-PL"/>
        </w:rPr>
        <w:t xml:space="preserve">Problem ten został całkowicie zbagatelizowany przez kierownictwo Prokuratury Generalnej. </w:t>
      </w:r>
      <w:r w:rsidR="004F560B">
        <w:rPr>
          <w:rFonts w:ascii="Bookman Old Style" w:eastAsia="Times New Roman" w:hAnsi="Bookman Old Style" w:cs="Times New Roman"/>
          <w:sz w:val="24"/>
          <w:szCs w:val="24"/>
          <w:lang w:eastAsia="pl-PL"/>
        </w:rPr>
        <w:lastRenderedPageBreak/>
        <w:t xml:space="preserve">Podobnie jak dostosowanie Systemu Informatycznego Prokuratury do nowych realiów procesowych. System ten nie przeszedł bezwzględnie koniecznych modyfikacji i po 1 lipca 2015 stanie się w dużej mierze nieprzydatny. Przetarg na jego obsługę </w:t>
      </w:r>
      <w:r w:rsidR="00F80409">
        <w:rPr>
          <w:rFonts w:ascii="Bookman Old Style" w:eastAsia="Times New Roman" w:hAnsi="Bookman Old Style" w:cs="Times New Roman"/>
          <w:sz w:val="24"/>
          <w:szCs w:val="24"/>
          <w:lang w:eastAsia="pl-PL"/>
        </w:rPr>
        <w:t>jest w tej</w:t>
      </w:r>
      <w:r w:rsidR="004F560B">
        <w:rPr>
          <w:rFonts w:ascii="Bookman Old Style" w:eastAsia="Times New Roman" w:hAnsi="Bookman Old Style" w:cs="Times New Roman"/>
          <w:sz w:val="24"/>
          <w:szCs w:val="24"/>
          <w:lang w:eastAsia="pl-PL"/>
        </w:rPr>
        <w:t xml:space="preserve"> chwili w zainteresowaniu Centralnego Biura Antykorupcyjnego.</w:t>
      </w:r>
    </w:p>
    <w:p w:rsidR="005765B5" w:rsidRDefault="005765B5" w:rsidP="009D08BE">
      <w:pPr>
        <w:pStyle w:val="Akapitzlist"/>
        <w:numPr>
          <w:ilvl w:val="0"/>
          <w:numId w:val="2"/>
        </w:numPr>
        <w:spacing w:line="360" w:lineRule="auto"/>
        <w:jc w:val="both"/>
        <w:rPr>
          <w:rFonts w:ascii="Bookman Old Style" w:hAnsi="Bookman Old Style"/>
          <w:b/>
          <w:sz w:val="24"/>
          <w:szCs w:val="24"/>
        </w:rPr>
      </w:pPr>
      <w:r w:rsidRPr="004F560B">
        <w:rPr>
          <w:rFonts w:ascii="Bookman Old Style" w:hAnsi="Bookman Old Style"/>
          <w:b/>
          <w:sz w:val="24"/>
          <w:szCs w:val="24"/>
        </w:rPr>
        <w:t xml:space="preserve">Wnioski. </w:t>
      </w:r>
    </w:p>
    <w:p w:rsidR="004F560B" w:rsidRDefault="004F560B" w:rsidP="004F560B">
      <w:pPr>
        <w:spacing w:line="360" w:lineRule="auto"/>
        <w:jc w:val="both"/>
        <w:rPr>
          <w:rFonts w:ascii="Bookman Old Style" w:hAnsi="Bookman Old Style"/>
          <w:sz w:val="24"/>
          <w:szCs w:val="24"/>
        </w:rPr>
      </w:pPr>
      <w:r>
        <w:rPr>
          <w:rFonts w:ascii="Bookman Old Style" w:hAnsi="Bookman Old Style"/>
          <w:sz w:val="24"/>
          <w:szCs w:val="24"/>
        </w:rPr>
        <w:t xml:space="preserve">Analiza sytuacji </w:t>
      </w:r>
      <w:r w:rsidR="00AE5CE6">
        <w:rPr>
          <w:rFonts w:ascii="Bookman Old Style" w:hAnsi="Bookman Old Style"/>
          <w:sz w:val="24"/>
          <w:szCs w:val="24"/>
        </w:rPr>
        <w:t xml:space="preserve">prowadzi do </w:t>
      </w:r>
      <w:r w:rsidR="0036495C">
        <w:rPr>
          <w:rFonts w:ascii="Bookman Old Style" w:hAnsi="Bookman Old Style"/>
          <w:sz w:val="24"/>
          <w:szCs w:val="24"/>
        </w:rPr>
        <w:t>wniosku</w:t>
      </w:r>
      <w:r>
        <w:rPr>
          <w:rFonts w:ascii="Bookman Old Style" w:hAnsi="Bookman Old Style"/>
          <w:sz w:val="24"/>
          <w:szCs w:val="24"/>
        </w:rPr>
        <w:t xml:space="preserve">, iż w przededniu wielkiej reformy procesu karnego, Państwo nie jest do niej przygotowane. Największe wysiłki w tym kierunku wykonują przyszli „aktorzy” kontradyktoryjnej procedury karnej – prokuratorzy, adwokaci, radcy prawni. Wysiłkom tym towarzyszy jednak bierność i brak profesjonalizmu władzy wykonawczej, która nie podejmuje działań dostosowujących system prawny do nowej procedury </w:t>
      </w:r>
      <w:r>
        <w:rPr>
          <w:rFonts w:ascii="Bookman Old Style" w:hAnsi="Bookman Old Style"/>
          <w:sz w:val="24"/>
          <w:szCs w:val="24"/>
        </w:rPr>
        <w:br/>
        <w:t>i zapewniających środki na jej sprawne funkcjonowanie. Jeśli podejmowane są już jakiekolwiek działania, to na ostatnią chwilę i w sposób chaotyczny. Dlatego też Rada Główna Związku Zawodowego Prokuratorów i Pracowników Prokuratury RP podkreśla, iż pełną odpowiedzialność za spodziewane niepowodzenie reformy ponoszą nie prokuratorzy i pozostali uczestnicy postępowan</w:t>
      </w:r>
      <w:r w:rsidR="0077603B">
        <w:rPr>
          <w:rFonts w:ascii="Bookman Old Style" w:hAnsi="Bookman Old Style"/>
          <w:sz w:val="24"/>
          <w:szCs w:val="24"/>
        </w:rPr>
        <w:t xml:space="preserve">ia karnego ale autorzy reformy </w:t>
      </w:r>
      <w:r>
        <w:rPr>
          <w:rFonts w:ascii="Bookman Old Style" w:hAnsi="Bookman Old Style"/>
          <w:sz w:val="24"/>
          <w:szCs w:val="24"/>
        </w:rPr>
        <w:t xml:space="preserve">- Komisja Kodyfikacyjna oraz politycy, którzy bezrefleksyjnie przyjęli jej propozycje, wprowadzając w toku procesu karnego dalsze, </w:t>
      </w:r>
      <w:r w:rsidR="0077603B">
        <w:rPr>
          <w:rFonts w:ascii="Bookman Old Style" w:hAnsi="Bookman Old Style"/>
          <w:sz w:val="24"/>
          <w:szCs w:val="24"/>
        </w:rPr>
        <w:t xml:space="preserve">niekorzystne modyfikacje. </w:t>
      </w:r>
    </w:p>
    <w:p w:rsidR="0077603B" w:rsidRDefault="0077603B" w:rsidP="004F560B">
      <w:pPr>
        <w:spacing w:line="360" w:lineRule="auto"/>
        <w:jc w:val="both"/>
        <w:rPr>
          <w:rFonts w:ascii="Bookman Old Style" w:hAnsi="Bookman Old Style"/>
          <w:sz w:val="24"/>
          <w:szCs w:val="24"/>
        </w:rPr>
      </w:pPr>
      <w:r>
        <w:rPr>
          <w:rFonts w:ascii="Bookman Old Style" w:hAnsi="Bookman Old Style"/>
          <w:sz w:val="24"/>
          <w:szCs w:val="24"/>
        </w:rPr>
        <w:t xml:space="preserve">W tym stanie rzeczy jako reprezentacja środowiska prokuratorskiego, wobec nieuwzględnienia postulatu wydłużenia vacatio legis, apelujemy do klasy politycznej aby ta po wyborach parlamentarnych niezwłocznie przyjęła ustawę uchylającą szkodliwą reformę. Działaniom tym powinno towarzyszyć utworzenie Komisji ustrojowej, której zadaniem byłoby stworzenie nowych ustaw regulujących funkcjonowanie prokuratury i sądownictwa powszechnego oraz równolegle funkcjonującej Komisji kodyfikacyjnej </w:t>
      </w:r>
      <w:r>
        <w:rPr>
          <w:rFonts w:ascii="Bookman Old Style" w:hAnsi="Bookman Old Style"/>
          <w:sz w:val="24"/>
          <w:szCs w:val="24"/>
        </w:rPr>
        <w:br/>
        <w:t xml:space="preserve">z dominującą rolą prawników praktyków, która stworzyłaby nowoczesne </w:t>
      </w:r>
      <w:r w:rsidR="00F4213D">
        <w:rPr>
          <w:rFonts w:ascii="Bookman Old Style" w:hAnsi="Bookman Old Style"/>
          <w:sz w:val="24"/>
          <w:szCs w:val="24"/>
        </w:rPr>
        <w:t xml:space="preserve">procedury </w:t>
      </w:r>
      <w:r>
        <w:rPr>
          <w:rFonts w:ascii="Bookman Old Style" w:hAnsi="Bookman Old Style"/>
          <w:sz w:val="24"/>
          <w:szCs w:val="24"/>
        </w:rPr>
        <w:t xml:space="preserve">- karną, cywilną i administracyjną, umożliwiające sprawne funkcjonowanie aparatu sprawiedliwości. </w:t>
      </w:r>
    </w:p>
    <w:p w:rsidR="0077603B" w:rsidRDefault="0077603B" w:rsidP="004F560B">
      <w:pPr>
        <w:spacing w:line="360" w:lineRule="auto"/>
        <w:jc w:val="both"/>
        <w:rPr>
          <w:rFonts w:ascii="Bookman Old Style" w:hAnsi="Bookman Old Style"/>
          <w:sz w:val="24"/>
          <w:szCs w:val="24"/>
        </w:rPr>
      </w:pPr>
    </w:p>
    <w:p w:rsidR="0077603B" w:rsidRPr="0077603B" w:rsidRDefault="0077603B" w:rsidP="004F560B">
      <w:pPr>
        <w:spacing w:line="360" w:lineRule="auto"/>
        <w:jc w:val="both"/>
        <w:rPr>
          <w:rFonts w:ascii="Bookman Old Style" w:hAnsi="Bookman Old Style"/>
          <w:b/>
          <w:i/>
          <w:sz w:val="24"/>
          <w:szCs w:val="24"/>
        </w:rPr>
      </w:pPr>
      <w:r w:rsidRPr="0077603B">
        <w:rPr>
          <w:rFonts w:ascii="Bookman Old Style" w:hAnsi="Bookman Old Style"/>
          <w:b/>
          <w:i/>
          <w:sz w:val="24"/>
          <w:szCs w:val="24"/>
        </w:rPr>
        <w:lastRenderedPageBreak/>
        <w:t>Do wiadomości:</w:t>
      </w:r>
    </w:p>
    <w:p w:rsidR="0077603B" w:rsidRDefault="0077603B" w:rsidP="004F560B">
      <w:pPr>
        <w:spacing w:line="360" w:lineRule="auto"/>
        <w:jc w:val="both"/>
        <w:rPr>
          <w:rFonts w:ascii="Bookman Old Style" w:hAnsi="Bookman Old Style"/>
          <w:sz w:val="24"/>
          <w:szCs w:val="24"/>
        </w:rPr>
      </w:pPr>
    </w:p>
    <w:p w:rsidR="0077603B" w:rsidRDefault="0077603B" w:rsidP="004F560B">
      <w:pPr>
        <w:spacing w:line="360" w:lineRule="auto"/>
        <w:jc w:val="both"/>
        <w:rPr>
          <w:rFonts w:ascii="Bookman Old Style" w:hAnsi="Bookman Old Style"/>
          <w:sz w:val="24"/>
          <w:szCs w:val="24"/>
        </w:rPr>
      </w:pPr>
      <w:r>
        <w:rPr>
          <w:rFonts w:ascii="Bookman Old Style" w:hAnsi="Bookman Old Style"/>
          <w:sz w:val="24"/>
          <w:szCs w:val="24"/>
        </w:rPr>
        <w:t>Prezydent RP</w:t>
      </w:r>
    </w:p>
    <w:p w:rsidR="0077603B" w:rsidRDefault="0077603B" w:rsidP="004F560B">
      <w:pPr>
        <w:spacing w:line="360" w:lineRule="auto"/>
        <w:jc w:val="both"/>
        <w:rPr>
          <w:rFonts w:ascii="Bookman Old Style" w:hAnsi="Bookman Old Style"/>
          <w:sz w:val="24"/>
          <w:szCs w:val="24"/>
        </w:rPr>
      </w:pPr>
      <w:r>
        <w:rPr>
          <w:rFonts w:ascii="Bookman Old Style" w:hAnsi="Bookman Old Style"/>
          <w:sz w:val="24"/>
          <w:szCs w:val="24"/>
        </w:rPr>
        <w:t>Prezydent Elekt</w:t>
      </w:r>
    </w:p>
    <w:p w:rsidR="0077603B" w:rsidRDefault="0077603B" w:rsidP="004F560B">
      <w:pPr>
        <w:spacing w:line="360" w:lineRule="auto"/>
        <w:jc w:val="both"/>
        <w:rPr>
          <w:rFonts w:ascii="Bookman Old Style" w:hAnsi="Bookman Old Style"/>
          <w:sz w:val="24"/>
          <w:szCs w:val="24"/>
        </w:rPr>
      </w:pPr>
      <w:r>
        <w:rPr>
          <w:rFonts w:ascii="Bookman Old Style" w:hAnsi="Bookman Old Style"/>
          <w:sz w:val="24"/>
          <w:szCs w:val="24"/>
        </w:rPr>
        <w:t>Marszałek Sejmu</w:t>
      </w:r>
    </w:p>
    <w:p w:rsidR="0077603B" w:rsidRDefault="0077603B" w:rsidP="004F560B">
      <w:pPr>
        <w:spacing w:line="360" w:lineRule="auto"/>
        <w:jc w:val="both"/>
        <w:rPr>
          <w:rFonts w:ascii="Bookman Old Style" w:hAnsi="Bookman Old Style"/>
          <w:sz w:val="24"/>
          <w:szCs w:val="24"/>
        </w:rPr>
      </w:pPr>
      <w:r>
        <w:rPr>
          <w:rFonts w:ascii="Bookman Old Style" w:hAnsi="Bookman Old Style"/>
          <w:sz w:val="24"/>
          <w:szCs w:val="24"/>
        </w:rPr>
        <w:t>Marszałek Senatu</w:t>
      </w:r>
    </w:p>
    <w:p w:rsidR="0077603B" w:rsidRDefault="0077603B" w:rsidP="004F560B">
      <w:pPr>
        <w:spacing w:line="360" w:lineRule="auto"/>
        <w:jc w:val="both"/>
        <w:rPr>
          <w:rFonts w:ascii="Bookman Old Style" w:hAnsi="Bookman Old Style"/>
          <w:sz w:val="24"/>
          <w:szCs w:val="24"/>
        </w:rPr>
      </w:pPr>
      <w:r>
        <w:rPr>
          <w:rFonts w:ascii="Bookman Old Style" w:hAnsi="Bookman Old Style"/>
          <w:sz w:val="24"/>
          <w:szCs w:val="24"/>
        </w:rPr>
        <w:t>Prezes Rady Ministrów</w:t>
      </w:r>
    </w:p>
    <w:p w:rsidR="0077603B" w:rsidRDefault="0077603B" w:rsidP="004F560B">
      <w:pPr>
        <w:spacing w:line="360" w:lineRule="auto"/>
        <w:jc w:val="both"/>
        <w:rPr>
          <w:rFonts w:ascii="Bookman Old Style" w:hAnsi="Bookman Old Style"/>
          <w:sz w:val="24"/>
          <w:szCs w:val="24"/>
        </w:rPr>
      </w:pPr>
      <w:r>
        <w:rPr>
          <w:rFonts w:ascii="Bookman Old Style" w:hAnsi="Bookman Old Style"/>
          <w:sz w:val="24"/>
          <w:szCs w:val="24"/>
        </w:rPr>
        <w:t>Prokurator Generalny</w:t>
      </w:r>
    </w:p>
    <w:p w:rsidR="0077603B" w:rsidRDefault="0077603B" w:rsidP="004F560B">
      <w:pPr>
        <w:spacing w:line="360" w:lineRule="auto"/>
        <w:jc w:val="both"/>
        <w:rPr>
          <w:rFonts w:ascii="Bookman Old Style" w:hAnsi="Bookman Old Style"/>
          <w:sz w:val="24"/>
          <w:szCs w:val="24"/>
        </w:rPr>
      </w:pPr>
      <w:r>
        <w:rPr>
          <w:rFonts w:ascii="Bookman Old Style" w:hAnsi="Bookman Old Style"/>
          <w:sz w:val="24"/>
          <w:szCs w:val="24"/>
        </w:rPr>
        <w:t>Krajowa Rada Prokuratury</w:t>
      </w:r>
    </w:p>
    <w:p w:rsidR="0077603B" w:rsidRPr="004F560B" w:rsidRDefault="0077603B" w:rsidP="004F560B">
      <w:pPr>
        <w:spacing w:line="360" w:lineRule="auto"/>
        <w:jc w:val="both"/>
        <w:rPr>
          <w:rFonts w:ascii="Bookman Old Style" w:hAnsi="Bookman Old Style"/>
          <w:sz w:val="24"/>
          <w:szCs w:val="24"/>
        </w:rPr>
      </w:pPr>
    </w:p>
    <w:sectPr w:rsidR="0077603B" w:rsidRPr="004F560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8F5" w:rsidRDefault="003C28F5" w:rsidP="00AE5CE6">
      <w:pPr>
        <w:spacing w:after="0" w:line="240" w:lineRule="auto"/>
      </w:pPr>
      <w:r>
        <w:separator/>
      </w:r>
    </w:p>
  </w:endnote>
  <w:endnote w:type="continuationSeparator" w:id="0">
    <w:p w:rsidR="003C28F5" w:rsidRDefault="003C28F5" w:rsidP="00AE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8F5" w:rsidRDefault="003C28F5" w:rsidP="00AE5CE6">
      <w:pPr>
        <w:spacing w:after="0" w:line="240" w:lineRule="auto"/>
      </w:pPr>
      <w:r>
        <w:separator/>
      </w:r>
    </w:p>
  </w:footnote>
  <w:footnote w:type="continuationSeparator" w:id="0">
    <w:p w:rsidR="003C28F5" w:rsidRDefault="003C28F5" w:rsidP="00AE5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956051"/>
      <w:docPartObj>
        <w:docPartGallery w:val="Page Numbers (Top of Page)"/>
        <w:docPartUnique/>
      </w:docPartObj>
    </w:sdtPr>
    <w:sdtContent>
      <w:p w:rsidR="00AE5CE6" w:rsidRDefault="00AE5CE6">
        <w:pPr>
          <w:pStyle w:val="Nagwek"/>
          <w:jc w:val="center"/>
        </w:pPr>
        <w:r>
          <w:fldChar w:fldCharType="begin"/>
        </w:r>
        <w:r>
          <w:instrText>PAGE   \* MERGEFORMAT</w:instrText>
        </w:r>
        <w:r>
          <w:fldChar w:fldCharType="separate"/>
        </w:r>
        <w:r w:rsidR="003767EC">
          <w:rPr>
            <w:noProof/>
          </w:rPr>
          <w:t>1</w:t>
        </w:r>
        <w:r>
          <w:fldChar w:fldCharType="end"/>
        </w:r>
      </w:p>
    </w:sdtContent>
  </w:sdt>
  <w:p w:rsidR="00AE5CE6" w:rsidRDefault="00AE5CE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195E"/>
    <w:multiLevelType w:val="hybridMultilevel"/>
    <w:tmpl w:val="7E68D666"/>
    <w:lvl w:ilvl="0" w:tplc="64D012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997B14"/>
    <w:multiLevelType w:val="hybridMultilevel"/>
    <w:tmpl w:val="D368B938"/>
    <w:lvl w:ilvl="0" w:tplc="EF7604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FC5"/>
    <w:rsid w:val="00023CF5"/>
    <w:rsid w:val="000335AA"/>
    <w:rsid w:val="000C6CC9"/>
    <w:rsid w:val="002223A8"/>
    <w:rsid w:val="00242AF4"/>
    <w:rsid w:val="00261F6D"/>
    <w:rsid w:val="002C33A7"/>
    <w:rsid w:val="0035287E"/>
    <w:rsid w:val="0036495C"/>
    <w:rsid w:val="003767EC"/>
    <w:rsid w:val="00390F1A"/>
    <w:rsid w:val="003A2BED"/>
    <w:rsid w:val="003C28F5"/>
    <w:rsid w:val="003D6A6C"/>
    <w:rsid w:val="00452F9A"/>
    <w:rsid w:val="004F560B"/>
    <w:rsid w:val="005652F0"/>
    <w:rsid w:val="005765B5"/>
    <w:rsid w:val="00681178"/>
    <w:rsid w:val="006C3C72"/>
    <w:rsid w:val="007268ED"/>
    <w:rsid w:val="0075732D"/>
    <w:rsid w:val="00757562"/>
    <w:rsid w:val="0077603B"/>
    <w:rsid w:val="00785305"/>
    <w:rsid w:val="008119DA"/>
    <w:rsid w:val="00867A73"/>
    <w:rsid w:val="008A4D90"/>
    <w:rsid w:val="009A48F3"/>
    <w:rsid w:val="009D08BE"/>
    <w:rsid w:val="009D74A2"/>
    <w:rsid w:val="00AA77D0"/>
    <w:rsid w:val="00AE5CE6"/>
    <w:rsid w:val="00B64523"/>
    <w:rsid w:val="00D14213"/>
    <w:rsid w:val="00F06930"/>
    <w:rsid w:val="00F4213D"/>
    <w:rsid w:val="00F80409"/>
    <w:rsid w:val="00FA4FC5"/>
    <w:rsid w:val="00FD54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A2BED"/>
    <w:rPr>
      <w:sz w:val="16"/>
      <w:szCs w:val="16"/>
    </w:rPr>
  </w:style>
  <w:style w:type="paragraph" w:styleId="Tekstkomentarza">
    <w:name w:val="annotation text"/>
    <w:basedOn w:val="Normalny"/>
    <w:link w:val="TekstkomentarzaZnak"/>
    <w:uiPriority w:val="99"/>
    <w:semiHidden/>
    <w:unhideWhenUsed/>
    <w:rsid w:val="003A2B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2BED"/>
    <w:rPr>
      <w:sz w:val="20"/>
      <w:szCs w:val="20"/>
    </w:rPr>
  </w:style>
  <w:style w:type="paragraph" w:styleId="Tematkomentarza">
    <w:name w:val="annotation subject"/>
    <w:basedOn w:val="Tekstkomentarza"/>
    <w:next w:val="Tekstkomentarza"/>
    <w:link w:val="TematkomentarzaZnak"/>
    <w:uiPriority w:val="99"/>
    <w:semiHidden/>
    <w:unhideWhenUsed/>
    <w:rsid w:val="003A2BED"/>
    <w:rPr>
      <w:b/>
      <w:bCs/>
    </w:rPr>
  </w:style>
  <w:style w:type="character" w:customStyle="1" w:styleId="TematkomentarzaZnak">
    <w:name w:val="Temat komentarza Znak"/>
    <w:basedOn w:val="TekstkomentarzaZnak"/>
    <w:link w:val="Tematkomentarza"/>
    <w:uiPriority w:val="99"/>
    <w:semiHidden/>
    <w:rsid w:val="003A2BED"/>
    <w:rPr>
      <w:b/>
      <w:bCs/>
      <w:sz w:val="20"/>
      <w:szCs w:val="20"/>
    </w:rPr>
  </w:style>
  <w:style w:type="paragraph" w:styleId="Tekstdymka">
    <w:name w:val="Balloon Text"/>
    <w:basedOn w:val="Normalny"/>
    <w:link w:val="TekstdymkaZnak"/>
    <w:uiPriority w:val="99"/>
    <w:semiHidden/>
    <w:unhideWhenUsed/>
    <w:rsid w:val="003A2B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2BED"/>
    <w:rPr>
      <w:rFonts w:ascii="Tahoma" w:hAnsi="Tahoma" w:cs="Tahoma"/>
      <w:sz w:val="16"/>
      <w:szCs w:val="16"/>
    </w:rPr>
  </w:style>
  <w:style w:type="paragraph" w:styleId="Akapitzlist">
    <w:name w:val="List Paragraph"/>
    <w:basedOn w:val="Normalny"/>
    <w:uiPriority w:val="34"/>
    <w:qFormat/>
    <w:rsid w:val="005765B5"/>
    <w:pPr>
      <w:ind w:left="720"/>
      <w:contextualSpacing/>
    </w:pPr>
  </w:style>
  <w:style w:type="paragraph" w:styleId="NormalnyWeb">
    <w:name w:val="Normal (Web)"/>
    <w:basedOn w:val="Normalny"/>
    <w:uiPriority w:val="99"/>
    <w:semiHidden/>
    <w:unhideWhenUsed/>
    <w:rsid w:val="000C6CC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C6CC9"/>
    <w:rPr>
      <w:b/>
      <w:bCs/>
    </w:rPr>
  </w:style>
  <w:style w:type="paragraph" w:styleId="Nagwek">
    <w:name w:val="header"/>
    <w:basedOn w:val="Normalny"/>
    <w:link w:val="NagwekZnak"/>
    <w:uiPriority w:val="99"/>
    <w:unhideWhenUsed/>
    <w:rsid w:val="00AE5C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5CE6"/>
  </w:style>
  <w:style w:type="paragraph" w:styleId="Stopka">
    <w:name w:val="footer"/>
    <w:basedOn w:val="Normalny"/>
    <w:link w:val="StopkaZnak"/>
    <w:uiPriority w:val="99"/>
    <w:unhideWhenUsed/>
    <w:rsid w:val="00AE5C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5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A2BED"/>
    <w:rPr>
      <w:sz w:val="16"/>
      <w:szCs w:val="16"/>
    </w:rPr>
  </w:style>
  <w:style w:type="paragraph" w:styleId="Tekstkomentarza">
    <w:name w:val="annotation text"/>
    <w:basedOn w:val="Normalny"/>
    <w:link w:val="TekstkomentarzaZnak"/>
    <w:uiPriority w:val="99"/>
    <w:semiHidden/>
    <w:unhideWhenUsed/>
    <w:rsid w:val="003A2B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2BED"/>
    <w:rPr>
      <w:sz w:val="20"/>
      <w:szCs w:val="20"/>
    </w:rPr>
  </w:style>
  <w:style w:type="paragraph" w:styleId="Tematkomentarza">
    <w:name w:val="annotation subject"/>
    <w:basedOn w:val="Tekstkomentarza"/>
    <w:next w:val="Tekstkomentarza"/>
    <w:link w:val="TematkomentarzaZnak"/>
    <w:uiPriority w:val="99"/>
    <w:semiHidden/>
    <w:unhideWhenUsed/>
    <w:rsid w:val="003A2BED"/>
    <w:rPr>
      <w:b/>
      <w:bCs/>
    </w:rPr>
  </w:style>
  <w:style w:type="character" w:customStyle="1" w:styleId="TematkomentarzaZnak">
    <w:name w:val="Temat komentarza Znak"/>
    <w:basedOn w:val="TekstkomentarzaZnak"/>
    <w:link w:val="Tematkomentarza"/>
    <w:uiPriority w:val="99"/>
    <w:semiHidden/>
    <w:rsid w:val="003A2BED"/>
    <w:rPr>
      <w:b/>
      <w:bCs/>
      <w:sz w:val="20"/>
      <w:szCs w:val="20"/>
    </w:rPr>
  </w:style>
  <w:style w:type="paragraph" w:styleId="Tekstdymka">
    <w:name w:val="Balloon Text"/>
    <w:basedOn w:val="Normalny"/>
    <w:link w:val="TekstdymkaZnak"/>
    <w:uiPriority w:val="99"/>
    <w:semiHidden/>
    <w:unhideWhenUsed/>
    <w:rsid w:val="003A2B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2BED"/>
    <w:rPr>
      <w:rFonts w:ascii="Tahoma" w:hAnsi="Tahoma" w:cs="Tahoma"/>
      <w:sz w:val="16"/>
      <w:szCs w:val="16"/>
    </w:rPr>
  </w:style>
  <w:style w:type="paragraph" w:styleId="Akapitzlist">
    <w:name w:val="List Paragraph"/>
    <w:basedOn w:val="Normalny"/>
    <w:uiPriority w:val="34"/>
    <w:qFormat/>
    <w:rsid w:val="005765B5"/>
    <w:pPr>
      <w:ind w:left="720"/>
      <w:contextualSpacing/>
    </w:pPr>
  </w:style>
  <w:style w:type="paragraph" w:styleId="NormalnyWeb">
    <w:name w:val="Normal (Web)"/>
    <w:basedOn w:val="Normalny"/>
    <w:uiPriority w:val="99"/>
    <w:semiHidden/>
    <w:unhideWhenUsed/>
    <w:rsid w:val="000C6CC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C6CC9"/>
    <w:rPr>
      <w:b/>
      <w:bCs/>
    </w:rPr>
  </w:style>
  <w:style w:type="paragraph" w:styleId="Nagwek">
    <w:name w:val="header"/>
    <w:basedOn w:val="Normalny"/>
    <w:link w:val="NagwekZnak"/>
    <w:uiPriority w:val="99"/>
    <w:unhideWhenUsed/>
    <w:rsid w:val="00AE5C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5CE6"/>
  </w:style>
  <w:style w:type="paragraph" w:styleId="Stopka">
    <w:name w:val="footer"/>
    <w:basedOn w:val="Normalny"/>
    <w:link w:val="StopkaZnak"/>
    <w:uiPriority w:val="99"/>
    <w:unhideWhenUsed/>
    <w:rsid w:val="00AE5C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5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9865">
      <w:bodyDiv w:val="1"/>
      <w:marLeft w:val="0"/>
      <w:marRight w:val="0"/>
      <w:marTop w:val="0"/>
      <w:marBottom w:val="0"/>
      <w:divBdr>
        <w:top w:val="none" w:sz="0" w:space="0" w:color="auto"/>
        <w:left w:val="none" w:sz="0" w:space="0" w:color="auto"/>
        <w:bottom w:val="none" w:sz="0" w:space="0" w:color="auto"/>
        <w:right w:val="none" w:sz="0" w:space="0" w:color="auto"/>
      </w:divBdr>
      <w:divsChild>
        <w:div w:id="1059136731">
          <w:marLeft w:val="0"/>
          <w:marRight w:val="0"/>
          <w:marTop w:val="0"/>
          <w:marBottom w:val="0"/>
          <w:divBdr>
            <w:top w:val="none" w:sz="0" w:space="0" w:color="auto"/>
            <w:left w:val="none" w:sz="0" w:space="0" w:color="auto"/>
            <w:bottom w:val="none" w:sz="0" w:space="0" w:color="auto"/>
            <w:right w:val="none" w:sz="0" w:space="0" w:color="auto"/>
          </w:divBdr>
          <w:divsChild>
            <w:div w:id="435757984">
              <w:marLeft w:val="0"/>
              <w:marRight w:val="0"/>
              <w:marTop w:val="0"/>
              <w:marBottom w:val="0"/>
              <w:divBdr>
                <w:top w:val="none" w:sz="0" w:space="0" w:color="auto"/>
                <w:left w:val="none" w:sz="0" w:space="0" w:color="auto"/>
                <w:bottom w:val="none" w:sz="0" w:space="0" w:color="auto"/>
                <w:right w:val="none" w:sz="0" w:space="0" w:color="auto"/>
              </w:divBdr>
              <w:divsChild>
                <w:div w:id="157040708">
                  <w:marLeft w:val="0"/>
                  <w:marRight w:val="0"/>
                  <w:marTop w:val="0"/>
                  <w:marBottom w:val="0"/>
                  <w:divBdr>
                    <w:top w:val="none" w:sz="0" w:space="0" w:color="auto"/>
                    <w:left w:val="none" w:sz="0" w:space="0" w:color="auto"/>
                    <w:bottom w:val="none" w:sz="0" w:space="0" w:color="auto"/>
                    <w:right w:val="none" w:sz="0" w:space="0" w:color="auto"/>
                  </w:divBdr>
                  <w:divsChild>
                    <w:div w:id="94522340">
                      <w:marLeft w:val="0"/>
                      <w:marRight w:val="0"/>
                      <w:marTop w:val="0"/>
                      <w:marBottom w:val="0"/>
                      <w:divBdr>
                        <w:top w:val="none" w:sz="0" w:space="0" w:color="auto"/>
                        <w:left w:val="none" w:sz="0" w:space="0" w:color="auto"/>
                        <w:bottom w:val="none" w:sz="0" w:space="0" w:color="auto"/>
                        <w:right w:val="none" w:sz="0" w:space="0" w:color="auto"/>
                      </w:divBdr>
                      <w:divsChild>
                        <w:div w:id="270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5714">
      <w:bodyDiv w:val="1"/>
      <w:marLeft w:val="0"/>
      <w:marRight w:val="0"/>
      <w:marTop w:val="0"/>
      <w:marBottom w:val="0"/>
      <w:divBdr>
        <w:top w:val="none" w:sz="0" w:space="0" w:color="auto"/>
        <w:left w:val="none" w:sz="0" w:space="0" w:color="auto"/>
        <w:bottom w:val="none" w:sz="0" w:space="0" w:color="auto"/>
        <w:right w:val="none" w:sz="0" w:space="0" w:color="auto"/>
      </w:divBdr>
      <w:divsChild>
        <w:div w:id="1885680334">
          <w:marLeft w:val="0"/>
          <w:marRight w:val="0"/>
          <w:marTop w:val="0"/>
          <w:marBottom w:val="0"/>
          <w:divBdr>
            <w:top w:val="none" w:sz="0" w:space="0" w:color="auto"/>
            <w:left w:val="none" w:sz="0" w:space="0" w:color="auto"/>
            <w:bottom w:val="none" w:sz="0" w:space="0" w:color="auto"/>
            <w:right w:val="none" w:sz="0" w:space="0" w:color="auto"/>
          </w:divBdr>
          <w:divsChild>
            <w:div w:id="433132418">
              <w:marLeft w:val="0"/>
              <w:marRight w:val="0"/>
              <w:marTop w:val="0"/>
              <w:marBottom w:val="0"/>
              <w:divBdr>
                <w:top w:val="none" w:sz="0" w:space="0" w:color="auto"/>
                <w:left w:val="none" w:sz="0" w:space="0" w:color="auto"/>
                <w:bottom w:val="none" w:sz="0" w:space="0" w:color="auto"/>
                <w:right w:val="none" w:sz="0" w:space="0" w:color="auto"/>
              </w:divBdr>
              <w:divsChild>
                <w:div w:id="1118840708">
                  <w:marLeft w:val="0"/>
                  <w:marRight w:val="0"/>
                  <w:marTop w:val="0"/>
                  <w:marBottom w:val="0"/>
                  <w:divBdr>
                    <w:top w:val="none" w:sz="0" w:space="0" w:color="auto"/>
                    <w:left w:val="none" w:sz="0" w:space="0" w:color="auto"/>
                    <w:bottom w:val="none" w:sz="0" w:space="0" w:color="auto"/>
                    <w:right w:val="none" w:sz="0" w:space="0" w:color="auto"/>
                  </w:divBdr>
                  <w:divsChild>
                    <w:div w:id="7830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2868</Words>
  <Characters>17208</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jskala</dc:creator>
  <cp:lastModifiedBy>jskala</cp:lastModifiedBy>
  <cp:revision>2</cp:revision>
  <dcterms:created xsi:type="dcterms:W3CDTF">2015-06-28T07:47:00Z</dcterms:created>
  <dcterms:modified xsi:type="dcterms:W3CDTF">2015-06-28T07:47:00Z</dcterms:modified>
</cp:coreProperties>
</file>