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DD" w:rsidRDefault="006B39FE" w:rsidP="006B39FE">
      <w:pPr>
        <w:jc w:val="both"/>
        <w:rPr>
          <w:rFonts w:ascii="Times New Roman" w:hAnsi="Times New Roman" w:cs="Times New Roman"/>
          <w:sz w:val="26"/>
          <w:szCs w:val="26"/>
        </w:rPr>
      </w:pPr>
      <w:bookmarkStart w:id="0" w:name="_GoBack"/>
      <w:bookmarkEnd w:id="0"/>
      <w:r w:rsidRPr="00982FDD">
        <w:rPr>
          <w:rFonts w:ascii="Times New Roman" w:hAnsi="Times New Roman" w:cs="Times New Roman"/>
          <w:sz w:val="26"/>
          <w:szCs w:val="26"/>
        </w:rPr>
        <w:t xml:space="preserve">Analizując odpowiedź na interpelację stanowiącą zapytanie dotyczące ilości odejść pracowników z pionu administracyjnego prokuratury (asystenci, urzędnicy i inni pracownicy) w latach 2008 -2018, zauważalne jest, iż na przestrzeni badanych lat doszło do wymiany niemalże całej kadry. </w:t>
      </w:r>
    </w:p>
    <w:p w:rsidR="006B39FE" w:rsidRDefault="006B39FE" w:rsidP="006B39FE">
      <w:pPr>
        <w:jc w:val="both"/>
        <w:rPr>
          <w:rFonts w:ascii="Times New Roman" w:hAnsi="Times New Roman" w:cs="Times New Roman"/>
          <w:sz w:val="26"/>
          <w:szCs w:val="26"/>
        </w:rPr>
      </w:pPr>
      <w:r w:rsidRPr="00982FDD">
        <w:rPr>
          <w:rFonts w:ascii="Times New Roman" w:hAnsi="Times New Roman" w:cs="Times New Roman"/>
          <w:sz w:val="26"/>
          <w:szCs w:val="26"/>
        </w:rPr>
        <w:t xml:space="preserve">Z danych uzyskanych z Prokuratury Krajowej wynika, iż stan powyżej wskazanych etatów (łącznie z etatami zablokowanymi np. urlopami macierzyńskimi, rodzicielskimi i innymi długotrwałymi nieobecnościami) na dzień 31 grudnia 2017r. wynosił 8283 wraz z obsadą części wojskowej. Do tego dnia z </w:t>
      </w:r>
      <w:r w:rsidR="0081167B">
        <w:rPr>
          <w:rFonts w:ascii="Times New Roman" w:hAnsi="Times New Roman" w:cs="Times New Roman"/>
          <w:sz w:val="26"/>
          <w:szCs w:val="26"/>
        </w:rPr>
        <w:t>prokuratury odeszło 6184 osób w </w:t>
      </w:r>
      <w:r w:rsidRPr="00982FDD">
        <w:rPr>
          <w:rFonts w:ascii="Times New Roman" w:hAnsi="Times New Roman" w:cs="Times New Roman"/>
          <w:sz w:val="26"/>
          <w:szCs w:val="26"/>
        </w:rPr>
        <w:t xml:space="preserve">związku z rozwiązaniem umowy o pracę przez jedną ze stron, rozwiązaniem umowy o pracę z powodu przejścia na emeryturę, zakończenia stosunku pracy (w tym umowy na zastępstwo) oraz w związku z wygaśnięciem umowy o pracę art. 63-65 </w:t>
      </w:r>
      <w:proofErr w:type="spellStart"/>
      <w:r w:rsidRPr="00982FDD">
        <w:rPr>
          <w:rFonts w:ascii="Times New Roman" w:hAnsi="Times New Roman" w:cs="Times New Roman"/>
          <w:sz w:val="26"/>
          <w:szCs w:val="26"/>
        </w:rPr>
        <w:t>Kp</w:t>
      </w:r>
      <w:proofErr w:type="spellEnd"/>
      <w:r w:rsidRPr="00982FDD">
        <w:rPr>
          <w:rFonts w:ascii="Times New Roman" w:hAnsi="Times New Roman" w:cs="Times New Roman"/>
          <w:sz w:val="26"/>
          <w:szCs w:val="26"/>
        </w:rPr>
        <w:t>.</w:t>
      </w:r>
    </w:p>
    <w:p w:rsidR="00982FDD" w:rsidRDefault="00982FDD" w:rsidP="006B39FE">
      <w:pPr>
        <w:jc w:val="both"/>
        <w:rPr>
          <w:rFonts w:ascii="Times New Roman" w:hAnsi="Times New Roman" w:cs="Times New Roman"/>
          <w:sz w:val="26"/>
          <w:szCs w:val="26"/>
        </w:rPr>
      </w:pPr>
      <w:r>
        <w:rPr>
          <w:rFonts w:ascii="Times New Roman" w:hAnsi="Times New Roman" w:cs="Times New Roman"/>
          <w:sz w:val="26"/>
          <w:szCs w:val="26"/>
        </w:rPr>
        <w:t>Także rok 2018 nie przedstawia się wcale lepiej – ogólna ilość etatów na dzień 20 września 2018r. wyniosła 8437, natomiast łącznie do tegoż dnia odeszło 6972 osób.</w:t>
      </w:r>
    </w:p>
    <w:p w:rsidR="00982FDD" w:rsidRDefault="00982FDD" w:rsidP="006B39FE">
      <w:pPr>
        <w:jc w:val="both"/>
        <w:rPr>
          <w:rFonts w:ascii="Times New Roman" w:hAnsi="Times New Roman" w:cs="Times New Roman"/>
          <w:sz w:val="26"/>
          <w:szCs w:val="26"/>
        </w:rPr>
      </w:pPr>
    </w:p>
    <w:p w:rsidR="00982FDD" w:rsidRDefault="00982FDD" w:rsidP="006B39FE">
      <w:pPr>
        <w:jc w:val="both"/>
        <w:rPr>
          <w:rFonts w:ascii="Times New Roman" w:hAnsi="Times New Roman" w:cs="Times New Roman"/>
          <w:sz w:val="26"/>
          <w:szCs w:val="26"/>
        </w:rPr>
      </w:pPr>
      <w:r>
        <w:rPr>
          <w:rFonts w:ascii="Times New Roman" w:hAnsi="Times New Roman" w:cs="Times New Roman"/>
          <w:noProof/>
          <w:sz w:val="26"/>
          <w:szCs w:val="26"/>
          <w:lang w:eastAsia="pl-PL"/>
        </w:rPr>
        <w:drawing>
          <wp:inline distT="0" distB="0" distL="0" distR="0">
            <wp:extent cx="5735781" cy="4548250"/>
            <wp:effectExtent l="0" t="0" r="0" b="508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1167B" w:rsidRDefault="0081167B" w:rsidP="006B39FE">
      <w:pPr>
        <w:jc w:val="both"/>
        <w:rPr>
          <w:rFonts w:ascii="Times New Roman" w:hAnsi="Times New Roman" w:cs="Times New Roman"/>
          <w:sz w:val="26"/>
          <w:szCs w:val="26"/>
        </w:rPr>
      </w:pPr>
    </w:p>
    <w:p w:rsidR="0081167B" w:rsidRDefault="0081167B" w:rsidP="006B39FE">
      <w:pPr>
        <w:jc w:val="both"/>
        <w:rPr>
          <w:rFonts w:ascii="Times New Roman" w:hAnsi="Times New Roman" w:cs="Times New Roman"/>
          <w:sz w:val="26"/>
          <w:szCs w:val="26"/>
        </w:rPr>
      </w:pPr>
    </w:p>
    <w:p w:rsidR="0081167B" w:rsidRDefault="0081167B" w:rsidP="006B39FE">
      <w:pPr>
        <w:jc w:val="both"/>
        <w:rPr>
          <w:rFonts w:ascii="Times New Roman" w:hAnsi="Times New Roman" w:cs="Times New Roman"/>
          <w:sz w:val="26"/>
          <w:szCs w:val="26"/>
        </w:rPr>
      </w:pPr>
    </w:p>
    <w:p w:rsidR="0081167B" w:rsidRDefault="0081167B" w:rsidP="006B39FE">
      <w:pPr>
        <w:jc w:val="both"/>
        <w:rPr>
          <w:rFonts w:ascii="Times New Roman" w:hAnsi="Times New Roman" w:cs="Times New Roman"/>
          <w:sz w:val="26"/>
          <w:szCs w:val="26"/>
        </w:rPr>
      </w:pPr>
      <w:r>
        <w:rPr>
          <w:rFonts w:ascii="Times New Roman" w:hAnsi="Times New Roman" w:cs="Times New Roman"/>
          <w:sz w:val="26"/>
          <w:szCs w:val="26"/>
        </w:rPr>
        <w:lastRenderedPageBreak/>
        <w:t xml:space="preserve">W każdej omawianej grupie zawodowej </w:t>
      </w:r>
      <w:r w:rsidR="0075117F">
        <w:rPr>
          <w:rFonts w:ascii="Times New Roman" w:hAnsi="Times New Roman" w:cs="Times New Roman"/>
          <w:sz w:val="26"/>
          <w:szCs w:val="26"/>
        </w:rPr>
        <w:t xml:space="preserve">na przestrzeni wszystkich badanych lat </w:t>
      </w:r>
      <w:r>
        <w:rPr>
          <w:rFonts w:ascii="Times New Roman" w:hAnsi="Times New Roman" w:cs="Times New Roman"/>
          <w:sz w:val="26"/>
          <w:szCs w:val="26"/>
        </w:rPr>
        <w:t xml:space="preserve">najwięcej osób opuściło szeregi </w:t>
      </w:r>
      <w:r w:rsidR="0075117F">
        <w:rPr>
          <w:rFonts w:ascii="Times New Roman" w:hAnsi="Times New Roman" w:cs="Times New Roman"/>
          <w:sz w:val="26"/>
          <w:szCs w:val="26"/>
        </w:rPr>
        <w:t>pracowników prokuratury w związku z rozwiązaniem umowy o pracę przez jedną ze stron oraz w związku z zakończeniem stosunku pracy, co przedstawiają poniższe wykresy.</w:t>
      </w:r>
    </w:p>
    <w:p w:rsidR="0075117F" w:rsidRDefault="0075117F" w:rsidP="006B39FE">
      <w:pPr>
        <w:jc w:val="both"/>
        <w:rPr>
          <w:rFonts w:ascii="Times New Roman" w:hAnsi="Times New Roman" w:cs="Times New Roman"/>
          <w:sz w:val="26"/>
          <w:szCs w:val="26"/>
        </w:rPr>
      </w:pPr>
    </w:p>
    <w:p w:rsidR="0075117F" w:rsidRDefault="0075117F" w:rsidP="006B39FE">
      <w:pPr>
        <w:jc w:val="both"/>
        <w:rPr>
          <w:rFonts w:ascii="Times New Roman" w:hAnsi="Times New Roman" w:cs="Times New Roman"/>
          <w:sz w:val="26"/>
          <w:szCs w:val="26"/>
        </w:rPr>
      </w:pPr>
      <w:r>
        <w:rPr>
          <w:noProof/>
          <w:lang w:eastAsia="pl-PL"/>
        </w:rPr>
        <w:drawing>
          <wp:inline distT="0" distB="0" distL="0" distR="0" wp14:anchorId="55B0E52E" wp14:editId="1E3CC5F4">
            <wp:extent cx="5961380" cy="3621974"/>
            <wp:effectExtent l="0" t="0" r="127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117F" w:rsidRDefault="0075117F" w:rsidP="006B39FE">
      <w:pPr>
        <w:jc w:val="both"/>
        <w:rPr>
          <w:rFonts w:ascii="Times New Roman" w:hAnsi="Times New Roman" w:cs="Times New Roman"/>
          <w:sz w:val="26"/>
          <w:szCs w:val="26"/>
        </w:rPr>
      </w:pPr>
      <w:r>
        <w:rPr>
          <w:noProof/>
          <w:lang w:eastAsia="pl-PL"/>
        </w:rPr>
        <w:drawing>
          <wp:inline distT="0" distB="0" distL="0" distR="0" wp14:anchorId="7CDA71E2" wp14:editId="3E7F08DB">
            <wp:extent cx="5902036" cy="3859481"/>
            <wp:effectExtent l="0" t="0" r="3810" b="825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117F" w:rsidRDefault="0075117F" w:rsidP="006B39FE">
      <w:pPr>
        <w:jc w:val="both"/>
        <w:rPr>
          <w:rFonts w:ascii="Times New Roman" w:hAnsi="Times New Roman" w:cs="Times New Roman"/>
          <w:sz w:val="26"/>
          <w:szCs w:val="26"/>
        </w:rPr>
      </w:pPr>
      <w:r>
        <w:rPr>
          <w:rFonts w:ascii="Times New Roman" w:hAnsi="Times New Roman" w:cs="Times New Roman"/>
          <w:sz w:val="26"/>
          <w:szCs w:val="26"/>
        </w:rPr>
        <w:lastRenderedPageBreak/>
        <w:t xml:space="preserve">Najbardziej dotkliwą jednakże formą ustania stosunku pracy dla pracodawcy winno być rozwiązanie takiego stosunku przez jedną ze stron. Faktem jest, iż zdarzają się przypadki, kiedy to pracodawca rezygnuje ze świadczenia pracy przez pracownika. Są to jednak przypadki sporadyczne. Śmiało więc można stwierdzić, iż znaczna część rozwiązań umowy o pracę jest skutkiem wypowiedzeń złożonych przez pracowników, w tym zwłaszcza tych, którzy posiadają wieloletnie doświadczenie, a tym samym wiedzę praktyczną. Poniższy wykres jednoznacznie przedstawia, iż od roku 2012 pojawiła się tendencja wzrostowa w rezygnacji wykonywania obowiązków służbowych w powszechnych jednostkach organizacyjnych i raczej nie będzie koloryzowaniem stwierdzenie, iż jest to w znacznej mierze skutek zastosuje wynagrodzeń, tudzież ich zbyt wolny wzrost. </w:t>
      </w:r>
      <w:r w:rsidR="00741939">
        <w:rPr>
          <w:rFonts w:ascii="Times New Roman" w:hAnsi="Times New Roman" w:cs="Times New Roman"/>
          <w:sz w:val="26"/>
          <w:szCs w:val="26"/>
        </w:rPr>
        <w:t xml:space="preserve">Łączna suma zakończenia stosunku pracy w omawiany sposób na przestrzeni lat 2008-2018 wyniosła aż 3333 osoby, co stanowi niemalże 1/3 ogólnej obecnej liczby etatów. </w:t>
      </w:r>
    </w:p>
    <w:p w:rsidR="0075117F" w:rsidRPr="00982FDD" w:rsidRDefault="0075117F" w:rsidP="006B39FE">
      <w:pPr>
        <w:jc w:val="both"/>
        <w:rPr>
          <w:rFonts w:ascii="Times New Roman" w:hAnsi="Times New Roman" w:cs="Times New Roman"/>
          <w:sz w:val="26"/>
          <w:szCs w:val="26"/>
        </w:rPr>
      </w:pPr>
    </w:p>
    <w:p w:rsidR="00BA195C" w:rsidRDefault="00BA195C">
      <w:r>
        <w:rPr>
          <w:noProof/>
          <w:lang w:eastAsia="pl-PL"/>
        </w:rPr>
        <w:drawing>
          <wp:inline distT="0" distB="0" distL="0" distR="0">
            <wp:extent cx="5771407" cy="5035138"/>
            <wp:effectExtent l="0" t="0" r="1270" b="1333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95C" w:rsidRDefault="00BA195C" w:rsidP="00BA195C"/>
    <w:p w:rsidR="00EF28D4" w:rsidRDefault="00BA195C" w:rsidP="00BA195C">
      <w:r>
        <w:rPr>
          <w:noProof/>
          <w:lang w:eastAsia="pl-PL"/>
        </w:rPr>
        <w:lastRenderedPageBreak/>
        <w:drawing>
          <wp:inline distT="0" distB="0" distL="0" distR="0" wp14:anchorId="246EC313" wp14:editId="122D070D">
            <wp:extent cx="5735781" cy="4120737"/>
            <wp:effectExtent l="0" t="0" r="17780" b="133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95C" w:rsidRDefault="00BA195C" w:rsidP="00BA195C">
      <w:r>
        <w:rPr>
          <w:noProof/>
          <w:lang w:eastAsia="pl-PL"/>
        </w:rPr>
        <w:drawing>
          <wp:inline distT="0" distB="0" distL="0" distR="0" wp14:anchorId="5832CECB" wp14:editId="37754D34">
            <wp:extent cx="5747657" cy="4203865"/>
            <wp:effectExtent l="0" t="0" r="5715" b="63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95C" w:rsidRDefault="00BA195C" w:rsidP="00BA195C"/>
    <w:p w:rsidR="00BA195C" w:rsidRDefault="00BA195C" w:rsidP="00BA195C">
      <w:r>
        <w:rPr>
          <w:noProof/>
          <w:lang w:eastAsia="pl-PL"/>
        </w:rPr>
        <w:lastRenderedPageBreak/>
        <w:drawing>
          <wp:inline distT="0" distB="0" distL="0" distR="0" wp14:anchorId="43188A07" wp14:editId="5EC70890">
            <wp:extent cx="5652654" cy="4013859"/>
            <wp:effectExtent l="0" t="0" r="5715" b="571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079A" w:rsidRDefault="00D1079A" w:rsidP="00BA195C"/>
    <w:p w:rsidR="00D1079A" w:rsidRDefault="00D1079A" w:rsidP="00BA195C">
      <w:pPr>
        <w:rPr>
          <w:rFonts w:ascii="Times New Roman" w:hAnsi="Times New Roman" w:cs="Times New Roman"/>
          <w:sz w:val="26"/>
          <w:szCs w:val="26"/>
        </w:rPr>
      </w:pPr>
    </w:p>
    <w:p w:rsidR="008312A3" w:rsidRPr="008312A3" w:rsidRDefault="008312A3" w:rsidP="008312A3">
      <w:pPr>
        <w:jc w:val="both"/>
        <w:rPr>
          <w:rFonts w:ascii="Times New Roman" w:hAnsi="Times New Roman" w:cs="Times New Roman"/>
          <w:sz w:val="26"/>
          <w:szCs w:val="26"/>
        </w:rPr>
      </w:pPr>
      <w:r>
        <w:rPr>
          <w:rFonts w:ascii="Times New Roman" w:hAnsi="Times New Roman" w:cs="Times New Roman"/>
          <w:sz w:val="26"/>
          <w:szCs w:val="26"/>
        </w:rPr>
        <w:t xml:space="preserve">I pomimo, iż kolejne wykresy świadczyć mogą, że odejście 9% asystentów, 6 % urzędników, czy aż około 20 % innych pracowników w ciągu roku w stosunku do ogólnej ilości etatów, nie sprawia wrażenia jakoby dochodziło do załamania w powszechnych jednostkach prokuratury, to jednak należy wziąć pod uwagę fakt, iż do końca 2018 roku szykują się kolejne wypowiedzenia (w tym także wśród kadr kierowniczych). Pamiętać bowiem należy, iż największy odsetek wypowiedzeń, nieobsadzonych etatów dotyczy jednostek najniższego szczebla – prokuratur rejonowych. A to właśnie w nich prowadzona jest największa ilość spraw, bardzo często, choć chyba można już rzec, że regularnie, za pomocą zbyt małej ilości rąk do pracy, za niestety wynagrodzenia zbyt często zbliżone do najniższej płacy krajowej, zamiast do średniego krajowego wynagrodzenia. </w:t>
      </w:r>
    </w:p>
    <w:p w:rsidR="00D1079A" w:rsidRDefault="00D1079A" w:rsidP="00BA195C"/>
    <w:p w:rsidR="00D1079A" w:rsidRDefault="00D1079A" w:rsidP="00BA195C"/>
    <w:p w:rsidR="00B5512D" w:rsidRDefault="00B5512D" w:rsidP="00BA195C"/>
    <w:p w:rsidR="00B5512D" w:rsidRDefault="00B5512D" w:rsidP="00BA195C"/>
    <w:p w:rsidR="00B5512D" w:rsidRDefault="00B5512D" w:rsidP="00BA195C"/>
    <w:p w:rsidR="00B5512D" w:rsidRDefault="00B5512D" w:rsidP="00BA195C"/>
    <w:p w:rsidR="00B5512D" w:rsidRDefault="00B5512D" w:rsidP="00BA195C"/>
    <w:p w:rsidR="004659C6" w:rsidRDefault="004659C6" w:rsidP="00BA195C"/>
    <w:p w:rsidR="004659C6" w:rsidRDefault="004659C6" w:rsidP="00BA195C">
      <w:r>
        <w:rPr>
          <w:noProof/>
          <w:lang w:eastAsia="pl-PL"/>
        </w:rPr>
        <w:drawing>
          <wp:inline distT="0" distB="0" distL="0" distR="0" wp14:anchorId="16FAC8BA" wp14:editId="666C8132">
            <wp:extent cx="5771407" cy="3313215"/>
            <wp:effectExtent l="0" t="0" r="1270" b="190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59C6" w:rsidRDefault="004659C6" w:rsidP="00BA195C"/>
    <w:p w:rsidR="004659C6" w:rsidRDefault="004659C6" w:rsidP="00BA195C">
      <w:r>
        <w:rPr>
          <w:noProof/>
          <w:lang w:eastAsia="pl-PL"/>
        </w:rPr>
        <w:drawing>
          <wp:inline distT="0" distB="0" distL="0" distR="0" wp14:anchorId="1437D29D" wp14:editId="1BD4A67D">
            <wp:extent cx="5723906" cy="3586348"/>
            <wp:effectExtent l="0" t="0" r="10160" b="1460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59C6" w:rsidRDefault="004659C6" w:rsidP="00BA195C"/>
    <w:p w:rsidR="004659C6" w:rsidRDefault="004659C6" w:rsidP="00BA195C">
      <w:r>
        <w:rPr>
          <w:noProof/>
          <w:lang w:eastAsia="pl-PL"/>
        </w:rPr>
        <w:lastRenderedPageBreak/>
        <w:drawing>
          <wp:inline distT="0" distB="0" distL="0" distR="0" wp14:anchorId="132086B2" wp14:editId="50CF9B7E">
            <wp:extent cx="5747657" cy="3467595"/>
            <wp:effectExtent l="0" t="0" r="571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9C6" w:rsidRDefault="004659C6" w:rsidP="00BA195C"/>
    <w:p w:rsidR="004659C6" w:rsidRDefault="006B3A03" w:rsidP="00BA195C">
      <w:r>
        <w:rPr>
          <w:noProof/>
          <w:lang w:eastAsia="pl-PL"/>
        </w:rPr>
        <w:drawing>
          <wp:inline distT="0" distB="0" distL="0" distR="0" wp14:anchorId="501C7BD2" wp14:editId="3EA8D600">
            <wp:extent cx="5712031" cy="3669475"/>
            <wp:effectExtent l="0" t="0" r="3175" b="762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A03" w:rsidRDefault="006B3A03" w:rsidP="00BA195C"/>
    <w:p w:rsidR="006B3A03" w:rsidRDefault="006B3A03" w:rsidP="00BA195C">
      <w:r>
        <w:rPr>
          <w:noProof/>
          <w:lang w:eastAsia="pl-PL"/>
        </w:rPr>
        <w:lastRenderedPageBreak/>
        <w:drawing>
          <wp:inline distT="0" distB="0" distL="0" distR="0" wp14:anchorId="3AE15A9E" wp14:editId="6ABE0369">
            <wp:extent cx="5747657" cy="3823855"/>
            <wp:effectExtent l="0" t="0" r="5715" b="571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3A03" w:rsidRDefault="006B3A03" w:rsidP="00BA195C"/>
    <w:p w:rsidR="004659C6" w:rsidRDefault="006B3A03" w:rsidP="00BA195C">
      <w:r>
        <w:rPr>
          <w:noProof/>
          <w:lang w:eastAsia="pl-PL"/>
        </w:rPr>
        <w:drawing>
          <wp:inline distT="0" distB="0" distL="0" distR="0" wp14:anchorId="0C01E919" wp14:editId="0CEBCD60">
            <wp:extent cx="5711825" cy="3800104"/>
            <wp:effectExtent l="0" t="0" r="3175" b="1016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59C6" w:rsidRDefault="004659C6" w:rsidP="00BA195C"/>
    <w:p w:rsidR="004659C6" w:rsidRPr="00BA195C" w:rsidRDefault="004659C6" w:rsidP="00BA195C"/>
    <w:sectPr w:rsidR="004659C6" w:rsidRPr="00BA1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4"/>
    <w:rsid w:val="004659C6"/>
    <w:rsid w:val="005970D3"/>
    <w:rsid w:val="006B39FE"/>
    <w:rsid w:val="006B3A03"/>
    <w:rsid w:val="00741939"/>
    <w:rsid w:val="0075117F"/>
    <w:rsid w:val="007B4E64"/>
    <w:rsid w:val="0081167B"/>
    <w:rsid w:val="008312A3"/>
    <w:rsid w:val="00982FDD"/>
    <w:rsid w:val="00B5512D"/>
    <w:rsid w:val="00BA195C"/>
    <w:rsid w:val="00D1079A"/>
    <w:rsid w:val="00E86973"/>
    <w:rsid w:val="00EF2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5A37-F733-41D8-87EA-69154074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70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oszak\Desktop\interpelacja%20-%20odej&#347;cia\odp%20na%20interpelacj&#2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oszak\Desktop\interpelacja%20-%20odej&#347;cia\odp%20na%20interpelacj&#2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roszak\Desktop\odp%20na%20interpelacj&#28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Arkusz1!$A$2</c:f>
              <c:strCache>
                <c:ptCount val="1"/>
                <c:pt idx="0">
                  <c:v>ilość etatów</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Arkusz1!$B$1:$C$1</c:f>
              <c:strCache>
                <c:ptCount val="2"/>
                <c:pt idx="0">
                  <c:v>stan na koniec 2017r.</c:v>
                </c:pt>
                <c:pt idx="1">
                  <c:v>stan na 20.09.2018r.</c:v>
                </c:pt>
              </c:strCache>
            </c:strRef>
          </c:cat>
          <c:val>
            <c:numRef>
              <c:f>Arkusz1!$B$2:$C$2</c:f>
              <c:numCache>
                <c:formatCode>General</c:formatCode>
                <c:ptCount val="2"/>
                <c:pt idx="0">
                  <c:v>8283</c:v>
                </c:pt>
                <c:pt idx="1">
                  <c:v>8437</c:v>
                </c:pt>
              </c:numCache>
            </c:numRef>
          </c:val>
          <c:extLst>
            <c:ext xmlns:c16="http://schemas.microsoft.com/office/drawing/2014/chart" uri="{C3380CC4-5D6E-409C-BE32-E72D297353CC}">
              <c16:uniqueId val="{00000000-7D19-4FFF-B27F-A88E7346302D}"/>
            </c:ext>
          </c:extLst>
        </c:ser>
        <c:dLbls>
          <c:showLegendKey val="0"/>
          <c:showVal val="0"/>
          <c:showCatName val="0"/>
          <c:showSerName val="0"/>
          <c:showPercent val="0"/>
          <c:showBubbleSize val="0"/>
        </c:dLbls>
        <c:axId val="385023560"/>
        <c:axId val="385028656"/>
      </c:areaChart>
      <c:barChart>
        <c:barDir val="col"/>
        <c:grouping val="clustered"/>
        <c:varyColors val="0"/>
        <c:ser>
          <c:idx val="1"/>
          <c:order val="1"/>
          <c:tx>
            <c:strRef>
              <c:f>Arkusz1!$A$3</c:f>
              <c:strCache>
                <c:ptCount val="1"/>
                <c:pt idx="0">
                  <c:v>ilość odejść</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Arkusz1!$B$1:$C$1</c:f>
              <c:strCache>
                <c:ptCount val="2"/>
                <c:pt idx="0">
                  <c:v>stan na koniec 2017r.</c:v>
                </c:pt>
                <c:pt idx="1">
                  <c:v>stan na 20.09.2018r.</c:v>
                </c:pt>
              </c:strCache>
            </c:strRef>
          </c:cat>
          <c:val>
            <c:numRef>
              <c:f>Arkusz1!$B$3:$C$3</c:f>
              <c:numCache>
                <c:formatCode>General</c:formatCode>
                <c:ptCount val="2"/>
                <c:pt idx="0">
                  <c:v>6184</c:v>
                </c:pt>
                <c:pt idx="1">
                  <c:v>6972</c:v>
                </c:pt>
              </c:numCache>
            </c:numRef>
          </c:val>
          <c:extLst>
            <c:ext xmlns:c16="http://schemas.microsoft.com/office/drawing/2014/chart" uri="{C3380CC4-5D6E-409C-BE32-E72D297353CC}">
              <c16:uniqueId val="{00000001-7D19-4FFF-B27F-A88E7346302D}"/>
            </c:ext>
          </c:extLst>
        </c:ser>
        <c:dLbls>
          <c:showLegendKey val="0"/>
          <c:showVal val="0"/>
          <c:showCatName val="0"/>
          <c:showSerName val="0"/>
          <c:showPercent val="0"/>
          <c:showBubbleSize val="0"/>
        </c:dLbls>
        <c:gapWidth val="150"/>
        <c:axId val="385023560"/>
        <c:axId val="385028656"/>
      </c:barChart>
      <c:catAx>
        <c:axId val="385023560"/>
        <c:scaling>
          <c:orientation val="minMax"/>
        </c:scaling>
        <c:delete val="0"/>
        <c:axPos val="b"/>
        <c:numFmt formatCode="General" sourceLinked="1"/>
        <c:majorTickMark val="out"/>
        <c:minorTickMark val="none"/>
        <c:tickLblPos val="nextTo"/>
        <c:spPr>
          <a:noFill/>
          <a:ln w="9525" cap="flat" cmpd="sng" algn="ctr">
            <a:solidFill>
              <a:schemeClr val="dk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85028656"/>
        <c:crosses val="autoZero"/>
        <c:auto val="1"/>
        <c:lblAlgn val="ctr"/>
        <c:lblOffset val="100"/>
        <c:noMultiLvlLbl val="0"/>
      </c:catAx>
      <c:valAx>
        <c:axId val="38502865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8502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ofPieChart>
        <c:ofPieType val="bar"/>
        <c:varyColors val="1"/>
        <c:ser>
          <c:idx val="0"/>
          <c:order val="0"/>
          <c:tx>
            <c:strRef>
              <c:f>Arkusz3!$A$3</c:f>
              <c:strCache>
                <c:ptCount val="1"/>
                <c:pt idx="0">
                  <c:v>urzędnicy</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390-428C-92AC-4E2EEE2D4595}"/>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390-428C-92AC-4E2EEE2D4595}"/>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390-428C-92AC-4E2EEE2D4595}"/>
              </c:ext>
            </c:extLst>
          </c:dPt>
          <c:dLbls>
            <c:dLbl>
              <c:idx val="2"/>
              <c:delete val="1"/>
              <c:extLst>
                <c:ext xmlns:c15="http://schemas.microsoft.com/office/drawing/2012/chart" uri="{CE6537A1-D6FC-4f65-9D91-7224C49458BB}"/>
                <c:ext xmlns:c16="http://schemas.microsoft.com/office/drawing/2014/chart" uri="{C3380CC4-5D6E-409C-BE32-E72D297353CC}">
                  <c16:uniqueId val="{00000005-2390-428C-92AC-4E2EEE2D459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Arkusz3!$B$1:$C$1</c:f>
              <c:strCache>
                <c:ptCount val="2"/>
                <c:pt idx="0">
                  <c:v>stan na 31.12.2017r.</c:v>
                </c:pt>
                <c:pt idx="1">
                  <c:v>odejście w 2017r. </c:v>
                </c:pt>
              </c:strCache>
            </c:strRef>
          </c:cat>
          <c:val>
            <c:numRef>
              <c:f>Arkusz3!$B$3:$C$3</c:f>
              <c:numCache>
                <c:formatCode>General</c:formatCode>
                <c:ptCount val="2"/>
                <c:pt idx="0">
                  <c:v>5777</c:v>
                </c:pt>
                <c:pt idx="1">
                  <c:v>396</c:v>
                </c:pt>
              </c:numCache>
            </c:numRef>
          </c:val>
          <c:extLst>
            <c:ext xmlns:c16="http://schemas.microsoft.com/office/drawing/2014/chart" uri="{C3380CC4-5D6E-409C-BE32-E72D297353CC}">
              <c16:uniqueId val="{00000006-2390-428C-92AC-4E2EEE2D4595}"/>
            </c:ext>
          </c:extLst>
        </c:ser>
        <c:dLbls>
          <c:showLegendKey val="0"/>
          <c:showVal val="0"/>
          <c:showCatName val="0"/>
          <c:showSerName val="0"/>
          <c:showPercent val="0"/>
          <c:showBubbleSize val="0"/>
          <c:showLeaderLines val="0"/>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ofPieChart>
        <c:ofPieType val="bar"/>
        <c:varyColors val="1"/>
        <c:ser>
          <c:idx val="0"/>
          <c:order val="0"/>
          <c:tx>
            <c:strRef>
              <c:f>Arkusz3!$D$3</c:f>
              <c:strCache>
                <c:ptCount val="1"/>
                <c:pt idx="0">
                  <c:v>urzędnicy</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80-4D12-AC58-52ACEDD65F11}"/>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80-4D12-AC58-52ACEDD65F11}"/>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80-4D12-AC58-52ACEDD65F11}"/>
              </c:ext>
            </c:extLst>
          </c:dPt>
          <c:dLbls>
            <c:dLbl>
              <c:idx val="1"/>
              <c:layout>
                <c:manualLayout>
                  <c:x val="-8.441732721153046E-2"/>
                  <c:y val="-1.392411618329646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E80-4D12-AC58-52ACEDD65F11}"/>
                </c:ext>
              </c:extLst>
            </c:dLbl>
            <c:dLbl>
              <c:idx val="2"/>
              <c:delete val="1"/>
              <c:extLst>
                <c:ext xmlns:c15="http://schemas.microsoft.com/office/drawing/2012/chart" uri="{CE6537A1-D6FC-4f65-9D91-7224C49458BB}"/>
                <c:ext xmlns:c16="http://schemas.microsoft.com/office/drawing/2014/chart" uri="{C3380CC4-5D6E-409C-BE32-E72D297353CC}">
                  <c16:uniqueId val="{00000005-8E80-4D12-AC58-52ACEDD65F1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Arkusz3!$E$1:$F$1</c:f>
              <c:strCache>
                <c:ptCount val="2"/>
                <c:pt idx="0">
                  <c:v>stan na 31.06.2018r.</c:v>
                </c:pt>
                <c:pt idx="1">
                  <c:v>odejście w 2018r. (do 20.09.2018r.)</c:v>
                </c:pt>
              </c:strCache>
            </c:strRef>
          </c:cat>
          <c:val>
            <c:numRef>
              <c:f>Arkusz3!$E$3:$F$3</c:f>
              <c:numCache>
                <c:formatCode>General</c:formatCode>
                <c:ptCount val="2"/>
                <c:pt idx="0">
                  <c:v>5811</c:v>
                </c:pt>
                <c:pt idx="1">
                  <c:v>382</c:v>
                </c:pt>
              </c:numCache>
            </c:numRef>
          </c:val>
          <c:extLst>
            <c:ext xmlns:c16="http://schemas.microsoft.com/office/drawing/2014/chart" uri="{C3380CC4-5D6E-409C-BE32-E72D297353CC}">
              <c16:uniqueId val="{00000006-8E80-4D12-AC58-52ACEDD65F11}"/>
            </c:ext>
          </c:extLst>
        </c:ser>
        <c:dLbls>
          <c:showLegendKey val="0"/>
          <c:showVal val="0"/>
          <c:showCatName val="0"/>
          <c:showSerName val="0"/>
          <c:showPercent val="0"/>
          <c:showBubbleSize val="0"/>
          <c:showLeaderLines val="0"/>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ofPieChart>
        <c:ofPieType val="bar"/>
        <c:varyColors val="1"/>
        <c:ser>
          <c:idx val="0"/>
          <c:order val="0"/>
          <c:tx>
            <c:strRef>
              <c:f>Arkusz3!$A$4</c:f>
              <c:strCache>
                <c:ptCount val="1"/>
                <c:pt idx="0">
                  <c:v>inni pracownicy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1E4-4EE6-B78F-DD233702561A}"/>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1E4-4EE6-B78F-DD233702561A}"/>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1E4-4EE6-B78F-DD233702561A}"/>
              </c:ext>
            </c:extLst>
          </c:dPt>
          <c:dLbls>
            <c:dLbl>
              <c:idx val="2"/>
              <c:delete val="1"/>
              <c:extLst>
                <c:ext xmlns:c15="http://schemas.microsoft.com/office/drawing/2012/chart" uri="{CE6537A1-D6FC-4f65-9D91-7224C49458BB}"/>
                <c:ext xmlns:c16="http://schemas.microsoft.com/office/drawing/2014/chart" uri="{C3380CC4-5D6E-409C-BE32-E72D297353CC}">
                  <c16:uniqueId val="{00000005-61E4-4EE6-B78F-DD233702561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Arkusz3!$B$1:$C$1</c:f>
              <c:strCache>
                <c:ptCount val="2"/>
                <c:pt idx="0">
                  <c:v>stan na 31.12.2017r.</c:v>
                </c:pt>
                <c:pt idx="1">
                  <c:v>odejście w 2017r. </c:v>
                </c:pt>
              </c:strCache>
            </c:strRef>
          </c:cat>
          <c:val>
            <c:numRef>
              <c:f>Arkusz3!$B$4:$C$4</c:f>
              <c:numCache>
                <c:formatCode>General</c:formatCode>
                <c:ptCount val="2"/>
                <c:pt idx="0">
                  <c:v>1501</c:v>
                </c:pt>
                <c:pt idx="1">
                  <c:v>412</c:v>
                </c:pt>
              </c:numCache>
            </c:numRef>
          </c:val>
          <c:extLst>
            <c:ext xmlns:c16="http://schemas.microsoft.com/office/drawing/2014/chart" uri="{C3380CC4-5D6E-409C-BE32-E72D297353CC}">
              <c16:uniqueId val="{00000006-61E4-4EE6-B78F-DD233702561A}"/>
            </c:ext>
          </c:extLst>
        </c:ser>
        <c:dLbls>
          <c:showLegendKey val="0"/>
          <c:showVal val="0"/>
          <c:showCatName val="0"/>
          <c:showSerName val="0"/>
          <c:showPercent val="0"/>
          <c:showBubbleSize val="0"/>
          <c:showLeaderLines val="0"/>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ofPieChart>
        <c:ofPieType val="bar"/>
        <c:varyColors val="1"/>
        <c:ser>
          <c:idx val="0"/>
          <c:order val="0"/>
          <c:tx>
            <c:strRef>
              <c:f>Arkusz3!$D$4</c:f>
              <c:strCache>
                <c:ptCount val="1"/>
                <c:pt idx="0">
                  <c:v>inni pracownicy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21E-4E47-BA9E-69B3EE6AD43F}"/>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21E-4E47-BA9E-69B3EE6AD43F}"/>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21E-4E47-BA9E-69B3EE6AD43F}"/>
              </c:ext>
            </c:extLst>
          </c:dPt>
          <c:dLbls>
            <c:dLbl>
              <c:idx val="2"/>
              <c:delete val="1"/>
              <c:extLst>
                <c:ext xmlns:c15="http://schemas.microsoft.com/office/drawing/2012/chart" uri="{CE6537A1-D6FC-4f65-9D91-7224C49458BB}"/>
                <c:ext xmlns:c16="http://schemas.microsoft.com/office/drawing/2014/chart" uri="{C3380CC4-5D6E-409C-BE32-E72D297353CC}">
                  <c16:uniqueId val="{00000005-521E-4E47-BA9E-69B3EE6AD43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Arkusz3!$E$1:$F$1</c:f>
              <c:strCache>
                <c:ptCount val="2"/>
                <c:pt idx="0">
                  <c:v>stan na 31.06.2018r.</c:v>
                </c:pt>
                <c:pt idx="1">
                  <c:v>odejście w 2018r. (do 20.09.2018r.)</c:v>
                </c:pt>
              </c:strCache>
            </c:strRef>
          </c:cat>
          <c:val>
            <c:numRef>
              <c:f>Arkusz3!$E$4:$F$4</c:f>
              <c:numCache>
                <c:formatCode>General</c:formatCode>
                <c:ptCount val="2"/>
                <c:pt idx="0">
                  <c:v>1504</c:v>
                </c:pt>
                <c:pt idx="1">
                  <c:v>339</c:v>
                </c:pt>
              </c:numCache>
            </c:numRef>
          </c:val>
          <c:extLst>
            <c:ext xmlns:c16="http://schemas.microsoft.com/office/drawing/2014/chart" uri="{C3380CC4-5D6E-409C-BE32-E72D297353CC}">
              <c16:uniqueId val="{00000006-521E-4E47-BA9E-69B3EE6AD43F}"/>
            </c:ext>
          </c:extLst>
        </c:ser>
        <c:dLbls>
          <c:showLegendKey val="0"/>
          <c:showVal val="0"/>
          <c:showCatName val="0"/>
          <c:showSerName val="0"/>
          <c:showPercent val="0"/>
          <c:showBubbleSize val="0"/>
          <c:showLeaderLines val="0"/>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Formy rozwiązazania umowy o pracę w każdej grupie zawodowej na przestrzeni badanych lat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'rodzaj odejścia'!$B$1</c:f>
              <c:strCache>
                <c:ptCount val="1"/>
                <c:pt idx="0">
                  <c:v>asystenci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'rodzaj odejścia'!$A$2:$A$5</c:f>
              <c:strCache>
                <c:ptCount val="4"/>
                <c:pt idx="0">
                  <c:v>rozwiązanie umowy o pracę przez jedną ze stron</c:v>
                </c:pt>
                <c:pt idx="1">
                  <c:v>rozwiązanie umowy o pracę z powodu przejścia na emeryturę</c:v>
                </c:pt>
                <c:pt idx="2">
                  <c:v>zakończenie stosunku pracy, w tym umowa na zastępstwo</c:v>
                </c:pt>
                <c:pt idx="3">
                  <c:v>wygaśnięcie umowy o pracę art. 63-65 kp</c:v>
                </c:pt>
              </c:strCache>
            </c:strRef>
          </c:cat>
          <c:val>
            <c:numRef>
              <c:f>'rodzaj odejścia'!$B$2:$B$5</c:f>
              <c:numCache>
                <c:formatCode>General</c:formatCode>
                <c:ptCount val="4"/>
                <c:pt idx="0">
                  <c:v>443</c:v>
                </c:pt>
                <c:pt idx="1">
                  <c:v>0</c:v>
                </c:pt>
                <c:pt idx="2">
                  <c:v>7</c:v>
                </c:pt>
                <c:pt idx="3">
                  <c:v>14</c:v>
                </c:pt>
              </c:numCache>
            </c:numRef>
          </c:val>
          <c:extLst>
            <c:ext xmlns:c16="http://schemas.microsoft.com/office/drawing/2014/chart" uri="{C3380CC4-5D6E-409C-BE32-E72D297353CC}">
              <c16:uniqueId val="{00000000-8F6F-4EDA-8568-CE01DC8B608D}"/>
            </c:ext>
          </c:extLst>
        </c:ser>
        <c:ser>
          <c:idx val="1"/>
          <c:order val="1"/>
          <c:tx>
            <c:strRef>
              <c:f>'rodzaj odejścia'!$C$1</c:f>
              <c:strCache>
                <c:ptCount val="1"/>
                <c:pt idx="0">
                  <c:v>urzędnicy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'rodzaj odejścia'!$A$2:$A$5</c:f>
              <c:strCache>
                <c:ptCount val="4"/>
                <c:pt idx="0">
                  <c:v>rozwiązanie umowy o pracę przez jedną ze stron</c:v>
                </c:pt>
                <c:pt idx="1">
                  <c:v>rozwiązanie umowy o pracę z powodu przejścia na emeryturę</c:v>
                </c:pt>
                <c:pt idx="2">
                  <c:v>zakończenie stosunku pracy, w tym umowa na zastępstwo</c:v>
                </c:pt>
                <c:pt idx="3">
                  <c:v>wygaśnięcie umowy o pracę art. 63-65 kp</c:v>
                </c:pt>
              </c:strCache>
            </c:strRef>
          </c:cat>
          <c:val>
            <c:numRef>
              <c:f>'rodzaj odejścia'!$C$2:$C$5</c:f>
              <c:numCache>
                <c:formatCode>General</c:formatCode>
                <c:ptCount val="4"/>
                <c:pt idx="0">
                  <c:v>1832</c:v>
                </c:pt>
                <c:pt idx="1">
                  <c:v>837</c:v>
                </c:pt>
                <c:pt idx="2">
                  <c:v>947</c:v>
                </c:pt>
                <c:pt idx="3">
                  <c:v>88</c:v>
                </c:pt>
              </c:numCache>
            </c:numRef>
          </c:val>
          <c:extLst>
            <c:ext xmlns:c16="http://schemas.microsoft.com/office/drawing/2014/chart" uri="{C3380CC4-5D6E-409C-BE32-E72D297353CC}">
              <c16:uniqueId val="{00000001-8F6F-4EDA-8568-CE01DC8B608D}"/>
            </c:ext>
          </c:extLst>
        </c:ser>
        <c:ser>
          <c:idx val="2"/>
          <c:order val="2"/>
          <c:tx>
            <c:strRef>
              <c:f>'rodzaj odejścia'!$D$1</c:f>
              <c:strCache>
                <c:ptCount val="1"/>
                <c:pt idx="0">
                  <c:v>inni pracownicy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'rodzaj odejścia'!$A$2:$A$5</c:f>
              <c:strCache>
                <c:ptCount val="4"/>
                <c:pt idx="0">
                  <c:v>rozwiązanie umowy o pracę przez jedną ze stron</c:v>
                </c:pt>
                <c:pt idx="1">
                  <c:v>rozwiązanie umowy o pracę z powodu przejścia na emeryturę</c:v>
                </c:pt>
                <c:pt idx="2">
                  <c:v>zakończenie stosunku pracy, w tym umowa na zastępstwo</c:v>
                </c:pt>
                <c:pt idx="3">
                  <c:v>wygaśnięcie umowy o pracę art. 63-65 kp</c:v>
                </c:pt>
              </c:strCache>
            </c:strRef>
          </c:cat>
          <c:val>
            <c:numRef>
              <c:f>'rodzaj odejścia'!$D$2:$D$5</c:f>
              <c:numCache>
                <c:formatCode>General</c:formatCode>
                <c:ptCount val="4"/>
                <c:pt idx="0">
                  <c:v>1058</c:v>
                </c:pt>
                <c:pt idx="1">
                  <c:v>322</c:v>
                </c:pt>
                <c:pt idx="2">
                  <c:v>1371</c:v>
                </c:pt>
                <c:pt idx="3">
                  <c:v>53</c:v>
                </c:pt>
              </c:numCache>
            </c:numRef>
          </c:val>
          <c:extLst>
            <c:ext xmlns:c16="http://schemas.microsoft.com/office/drawing/2014/chart" uri="{C3380CC4-5D6E-409C-BE32-E72D297353CC}">
              <c16:uniqueId val="{00000002-8F6F-4EDA-8568-CE01DC8B608D}"/>
            </c:ext>
          </c:extLst>
        </c:ser>
        <c:dLbls>
          <c:showLegendKey val="0"/>
          <c:showVal val="0"/>
          <c:showCatName val="0"/>
          <c:showSerName val="0"/>
          <c:showPercent val="0"/>
          <c:showBubbleSize val="0"/>
        </c:dLbls>
        <c:gapWidth val="150"/>
        <c:shape val="box"/>
        <c:axId val="335302840"/>
        <c:axId val="335305584"/>
        <c:axId val="0"/>
      </c:bar3DChart>
      <c:catAx>
        <c:axId val="335302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335305584"/>
        <c:crosses val="autoZero"/>
        <c:auto val="1"/>
        <c:lblAlgn val="ctr"/>
        <c:lblOffset val="100"/>
        <c:noMultiLvlLbl val="0"/>
      </c:catAx>
      <c:valAx>
        <c:axId val="335305584"/>
        <c:scaling>
          <c:orientation val="minMax"/>
        </c:scaling>
        <c:delete val="1"/>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crossAx val="335302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EE2-4C10-949D-0340CAE1DC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EE2-4C10-949D-0340CAE1DC2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EE2-4C10-949D-0340CAE1DC2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EE2-4C10-949D-0340CAE1DC2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'rodzaj odejścia'!$A$2:$A$5</c:f>
              <c:strCache>
                <c:ptCount val="4"/>
                <c:pt idx="0">
                  <c:v>rozwiązanie umowy o pracę przez jedną ze stron</c:v>
                </c:pt>
                <c:pt idx="1">
                  <c:v>rozwiązanie umowy o pracę z powodu przejścia na emeryturę</c:v>
                </c:pt>
                <c:pt idx="2">
                  <c:v>zakończenie stosunku pracy, w tym umowa na zastępstwo</c:v>
                </c:pt>
                <c:pt idx="3">
                  <c:v>wygaśnięcie umowy o pracę art. 63-65 kp</c:v>
                </c:pt>
              </c:strCache>
            </c:strRef>
          </c:cat>
          <c:val>
            <c:numRef>
              <c:f>'rodzaj odejścia'!$F$2:$F$5</c:f>
              <c:numCache>
                <c:formatCode>General</c:formatCode>
                <c:ptCount val="4"/>
                <c:pt idx="0">
                  <c:v>3333</c:v>
                </c:pt>
                <c:pt idx="1">
                  <c:v>1159</c:v>
                </c:pt>
                <c:pt idx="2">
                  <c:v>2325</c:v>
                </c:pt>
                <c:pt idx="3">
                  <c:v>155</c:v>
                </c:pt>
              </c:numCache>
            </c:numRef>
          </c:val>
          <c:extLst>
            <c:ext xmlns:c16="http://schemas.microsoft.com/office/drawing/2014/chart" uri="{C3380CC4-5D6E-409C-BE32-E72D297353CC}">
              <c16:uniqueId val="{00000008-FEE2-4C10-949D-0340CAE1DC2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500" b="0" i="0" baseline="0">
                <a:effectLst/>
              </a:rPr>
              <a:t>Rozwiązanie umowy o pracę przez jedną ze stron</a:t>
            </a:r>
            <a:r>
              <a:rPr lang="pl-PL" sz="1500" b="0" i="0" baseline="0">
                <a:effectLst/>
              </a:rPr>
              <a:t> (łącznie asystenci, urzędnicy i inni pracownicy)</a:t>
            </a:r>
            <a:endParaRPr lang="pl-PL" sz="1500">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Arkusz1!$A$1:$K$1</c:f>
              <c:strCache>
                <c:ptCount val="11"/>
                <c:pt idx="0">
                  <c:v>2008r.</c:v>
                </c:pt>
                <c:pt idx="1">
                  <c:v>2009r.</c:v>
                </c:pt>
                <c:pt idx="2">
                  <c:v>2010r.</c:v>
                </c:pt>
                <c:pt idx="3">
                  <c:v>2011r.</c:v>
                </c:pt>
                <c:pt idx="4">
                  <c:v>2012r.</c:v>
                </c:pt>
                <c:pt idx="5">
                  <c:v>2013r.</c:v>
                </c:pt>
                <c:pt idx="6">
                  <c:v>2014r.</c:v>
                </c:pt>
                <c:pt idx="7">
                  <c:v>2015r.</c:v>
                </c:pt>
                <c:pt idx="8">
                  <c:v>2016r.</c:v>
                </c:pt>
                <c:pt idx="9">
                  <c:v>2017r.</c:v>
                </c:pt>
                <c:pt idx="10">
                  <c:v>2018r. (do 20.09.2018r.)</c:v>
                </c:pt>
              </c:strCache>
            </c:strRef>
          </c:cat>
          <c:val>
            <c:numRef>
              <c:f>Arkusz1!$A$2:$K$2</c:f>
              <c:numCache>
                <c:formatCode>General</c:formatCode>
                <c:ptCount val="11"/>
                <c:pt idx="0">
                  <c:v>373</c:v>
                </c:pt>
                <c:pt idx="1">
                  <c:v>293</c:v>
                </c:pt>
                <c:pt idx="2">
                  <c:v>243</c:v>
                </c:pt>
                <c:pt idx="3">
                  <c:v>263</c:v>
                </c:pt>
                <c:pt idx="4">
                  <c:v>236</c:v>
                </c:pt>
                <c:pt idx="5">
                  <c:v>246</c:v>
                </c:pt>
                <c:pt idx="6">
                  <c:v>265</c:v>
                </c:pt>
                <c:pt idx="7">
                  <c:v>301</c:v>
                </c:pt>
                <c:pt idx="8">
                  <c:v>321</c:v>
                </c:pt>
                <c:pt idx="9">
                  <c:v>386</c:v>
                </c:pt>
                <c:pt idx="10">
                  <c:v>406</c:v>
                </c:pt>
              </c:numCache>
            </c:numRef>
          </c:val>
          <c:extLst>
            <c:ext xmlns:c16="http://schemas.microsoft.com/office/drawing/2014/chart" uri="{C3380CC4-5D6E-409C-BE32-E72D297353CC}">
              <c16:uniqueId val="{00000000-8558-421F-B82A-8648E647850E}"/>
            </c:ext>
          </c:extLst>
        </c:ser>
        <c:dLbls>
          <c:showLegendKey val="0"/>
          <c:showVal val="1"/>
          <c:showCatName val="0"/>
          <c:showSerName val="0"/>
          <c:showPercent val="0"/>
          <c:showBubbleSize val="0"/>
        </c:dLbls>
        <c:gapWidth val="150"/>
        <c:shape val="box"/>
        <c:axId val="335302448"/>
        <c:axId val="379117408"/>
        <c:axId val="0"/>
      </c:bar3DChart>
      <c:catAx>
        <c:axId val="335302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379117408"/>
        <c:crosses val="autoZero"/>
        <c:auto val="1"/>
        <c:lblAlgn val="ctr"/>
        <c:lblOffset val="100"/>
        <c:noMultiLvlLbl val="0"/>
      </c:catAx>
      <c:valAx>
        <c:axId val="379117408"/>
        <c:scaling>
          <c:orientation val="minMax"/>
        </c:scaling>
        <c:delete val="1"/>
        <c:axPos val="l"/>
        <c:numFmt formatCode="General" sourceLinked="1"/>
        <c:majorTickMark val="none"/>
        <c:minorTickMark val="none"/>
        <c:tickLblPos val="nextTo"/>
        <c:crossAx val="3353024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rozwiązanie umowy o pracę przez jedną ze stron</a:t>
            </a:r>
            <a:r>
              <a:rPr lang="pl-PL"/>
              <a:t> - asystenci</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l-PL"/>
        </a:p>
      </c:txPr>
    </c:title>
    <c:autoTitleDeleted val="0"/>
    <c:plotArea>
      <c:layout/>
      <c:barChart>
        <c:barDir val="col"/>
        <c:grouping val="clustered"/>
        <c:varyColors val="0"/>
        <c:ser>
          <c:idx val="0"/>
          <c:order val="0"/>
          <c:tx>
            <c:strRef>
              <c:f>asystenci!$A$2</c:f>
              <c:strCache>
                <c:ptCount val="1"/>
                <c:pt idx="0">
                  <c:v>rozwiązanie umowy o pracę przez jedną ze stron</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asystenci!$B$1:$L$1</c:f>
              <c:strCache>
                <c:ptCount val="11"/>
                <c:pt idx="0">
                  <c:v>2008r.</c:v>
                </c:pt>
                <c:pt idx="1">
                  <c:v>2009r.</c:v>
                </c:pt>
                <c:pt idx="2">
                  <c:v>2010r.</c:v>
                </c:pt>
                <c:pt idx="3">
                  <c:v>2011r.</c:v>
                </c:pt>
                <c:pt idx="4">
                  <c:v>2012r.</c:v>
                </c:pt>
                <c:pt idx="5">
                  <c:v>2013r.</c:v>
                </c:pt>
                <c:pt idx="6">
                  <c:v>2014r.</c:v>
                </c:pt>
                <c:pt idx="7">
                  <c:v>2015r.</c:v>
                </c:pt>
                <c:pt idx="8">
                  <c:v>2016r.</c:v>
                </c:pt>
                <c:pt idx="9">
                  <c:v>2017r.</c:v>
                </c:pt>
                <c:pt idx="10">
                  <c:v>2018r. (do 20.09.2018r.)</c:v>
                </c:pt>
              </c:strCache>
            </c:strRef>
          </c:cat>
          <c:val>
            <c:numRef>
              <c:f>asystenci!$B$2:$L$2</c:f>
              <c:numCache>
                <c:formatCode>General</c:formatCode>
                <c:ptCount val="11"/>
                <c:pt idx="0">
                  <c:v>21</c:v>
                </c:pt>
                <c:pt idx="1">
                  <c:v>47</c:v>
                </c:pt>
                <c:pt idx="2">
                  <c:v>38</c:v>
                </c:pt>
                <c:pt idx="3">
                  <c:v>27</c:v>
                </c:pt>
                <c:pt idx="4">
                  <c:v>50</c:v>
                </c:pt>
                <c:pt idx="5">
                  <c:v>47</c:v>
                </c:pt>
                <c:pt idx="6">
                  <c:v>28</c:v>
                </c:pt>
                <c:pt idx="7">
                  <c:v>27</c:v>
                </c:pt>
                <c:pt idx="8">
                  <c:v>38</c:v>
                </c:pt>
                <c:pt idx="9">
                  <c:v>55</c:v>
                </c:pt>
                <c:pt idx="10">
                  <c:v>65</c:v>
                </c:pt>
              </c:numCache>
            </c:numRef>
          </c:val>
          <c:extLst>
            <c:ext xmlns:c16="http://schemas.microsoft.com/office/drawing/2014/chart" uri="{C3380CC4-5D6E-409C-BE32-E72D297353CC}">
              <c16:uniqueId val="{00000000-3392-4842-986A-662331C39239}"/>
            </c:ext>
          </c:extLst>
        </c:ser>
        <c:dLbls>
          <c:dLblPos val="inEnd"/>
          <c:showLegendKey val="0"/>
          <c:showVal val="1"/>
          <c:showCatName val="0"/>
          <c:showSerName val="0"/>
          <c:showPercent val="0"/>
          <c:showBubbleSize val="0"/>
        </c:dLbls>
        <c:gapWidth val="41"/>
        <c:axId val="379114664"/>
        <c:axId val="337198728"/>
      </c:barChart>
      <c:catAx>
        <c:axId val="379114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337198728"/>
        <c:crosses val="autoZero"/>
        <c:auto val="1"/>
        <c:lblAlgn val="ctr"/>
        <c:lblOffset val="100"/>
        <c:noMultiLvlLbl val="0"/>
      </c:catAx>
      <c:valAx>
        <c:axId val="337198728"/>
        <c:scaling>
          <c:orientation val="minMax"/>
        </c:scaling>
        <c:delete val="1"/>
        <c:axPos val="l"/>
        <c:numFmt formatCode="General" sourceLinked="1"/>
        <c:majorTickMark val="none"/>
        <c:minorTickMark val="none"/>
        <c:tickLblPos val="nextTo"/>
        <c:crossAx val="37911466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rozwiązanie umowy o pracę przez jedną ze stron</a:t>
            </a:r>
            <a:r>
              <a:rPr lang="pl-PL"/>
              <a:t> - urzędnicy</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l-PL"/>
        </a:p>
      </c:txPr>
    </c:title>
    <c:autoTitleDeleted val="0"/>
    <c:plotArea>
      <c:layout/>
      <c:barChart>
        <c:barDir val="col"/>
        <c:grouping val="clustered"/>
        <c:varyColors val="0"/>
        <c:ser>
          <c:idx val="0"/>
          <c:order val="0"/>
          <c:tx>
            <c:strRef>
              <c:f>urzędnicy!$A$2</c:f>
              <c:strCache>
                <c:ptCount val="1"/>
                <c:pt idx="0">
                  <c:v>rozwiązanie umowy o pracę przez jedną ze stron</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urzędnicy!$B$1:$L$1</c:f>
              <c:strCache>
                <c:ptCount val="11"/>
                <c:pt idx="0">
                  <c:v>2008r.</c:v>
                </c:pt>
                <c:pt idx="1">
                  <c:v>2009r.</c:v>
                </c:pt>
                <c:pt idx="2">
                  <c:v>2010r.</c:v>
                </c:pt>
                <c:pt idx="3">
                  <c:v>2011r.</c:v>
                </c:pt>
                <c:pt idx="4">
                  <c:v>2012r.</c:v>
                </c:pt>
                <c:pt idx="5">
                  <c:v>2013r.</c:v>
                </c:pt>
                <c:pt idx="6">
                  <c:v>2014r.</c:v>
                </c:pt>
                <c:pt idx="7">
                  <c:v>2015r.</c:v>
                </c:pt>
                <c:pt idx="8">
                  <c:v>2016r.</c:v>
                </c:pt>
                <c:pt idx="9">
                  <c:v>2017r.</c:v>
                </c:pt>
                <c:pt idx="10">
                  <c:v>2018r. (do 20.09.2018r.)</c:v>
                </c:pt>
              </c:strCache>
            </c:strRef>
          </c:cat>
          <c:val>
            <c:numRef>
              <c:f>urzędnicy!$B$2:$L$2</c:f>
              <c:numCache>
                <c:formatCode>General</c:formatCode>
                <c:ptCount val="11"/>
                <c:pt idx="0">
                  <c:v>249</c:v>
                </c:pt>
                <c:pt idx="1">
                  <c:v>166</c:v>
                </c:pt>
                <c:pt idx="2">
                  <c:v>147</c:v>
                </c:pt>
                <c:pt idx="3">
                  <c:v>156</c:v>
                </c:pt>
                <c:pt idx="4">
                  <c:v>129</c:v>
                </c:pt>
                <c:pt idx="5">
                  <c:v>118</c:v>
                </c:pt>
                <c:pt idx="6">
                  <c:v>144</c:v>
                </c:pt>
                <c:pt idx="7">
                  <c:v>158</c:v>
                </c:pt>
                <c:pt idx="8">
                  <c:v>172</c:v>
                </c:pt>
                <c:pt idx="9">
                  <c:v>185</c:v>
                </c:pt>
                <c:pt idx="10">
                  <c:v>208</c:v>
                </c:pt>
              </c:numCache>
            </c:numRef>
          </c:val>
          <c:extLst>
            <c:ext xmlns:c16="http://schemas.microsoft.com/office/drawing/2014/chart" uri="{C3380CC4-5D6E-409C-BE32-E72D297353CC}">
              <c16:uniqueId val="{00000000-E8EF-41D5-8AE1-07F38064E63B}"/>
            </c:ext>
          </c:extLst>
        </c:ser>
        <c:dLbls>
          <c:dLblPos val="inEnd"/>
          <c:showLegendKey val="0"/>
          <c:showVal val="1"/>
          <c:showCatName val="0"/>
          <c:showSerName val="0"/>
          <c:showPercent val="0"/>
          <c:showBubbleSize val="0"/>
        </c:dLbls>
        <c:gapWidth val="41"/>
        <c:axId val="247959248"/>
        <c:axId val="337252552"/>
      </c:barChart>
      <c:catAx>
        <c:axId val="24795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337252552"/>
        <c:crosses val="autoZero"/>
        <c:auto val="1"/>
        <c:lblAlgn val="ctr"/>
        <c:lblOffset val="100"/>
        <c:noMultiLvlLbl val="0"/>
      </c:catAx>
      <c:valAx>
        <c:axId val="337252552"/>
        <c:scaling>
          <c:orientation val="minMax"/>
        </c:scaling>
        <c:delete val="1"/>
        <c:axPos val="l"/>
        <c:numFmt formatCode="General" sourceLinked="1"/>
        <c:majorTickMark val="none"/>
        <c:minorTickMark val="none"/>
        <c:tickLblPos val="nextTo"/>
        <c:crossAx val="24795924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rozwiązanie umowy o pracę przez jedną ze stron</a:t>
            </a:r>
            <a:r>
              <a:rPr lang="pl-PL"/>
              <a:t> - inni pracownicy</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l-PL"/>
        </a:p>
      </c:txPr>
    </c:title>
    <c:autoTitleDeleted val="0"/>
    <c:plotArea>
      <c:layout/>
      <c:barChart>
        <c:barDir val="col"/>
        <c:grouping val="clustered"/>
        <c:varyColors val="0"/>
        <c:ser>
          <c:idx val="0"/>
          <c:order val="0"/>
          <c:tx>
            <c:strRef>
              <c:f>'inni pracownicy'!$A$2</c:f>
              <c:strCache>
                <c:ptCount val="1"/>
                <c:pt idx="0">
                  <c:v>rozwiązanie umowy o pracę przez jedną ze stron</c:v>
                </c:pt>
              </c:strCache>
            </c:strRef>
          </c:tx>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'inni pracownicy'!$B$1:$L$1</c:f>
              <c:strCache>
                <c:ptCount val="11"/>
                <c:pt idx="0">
                  <c:v>2008r.</c:v>
                </c:pt>
                <c:pt idx="1">
                  <c:v>2009r.</c:v>
                </c:pt>
                <c:pt idx="2">
                  <c:v>2010r.</c:v>
                </c:pt>
                <c:pt idx="3">
                  <c:v>2011r.</c:v>
                </c:pt>
                <c:pt idx="4">
                  <c:v>2012r.</c:v>
                </c:pt>
                <c:pt idx="5">
                  <c:v>2013r.</c:v>
                </c:pt>
                <c:pt idx="6">
                  <c:v>2014r.</c:v>
                </c:pt>
                <c:pt idx="7">
                  <c:v>2015r.</c:v>
                </c:pt>
                <c:pt idx="8">
                  <c:v>2016r.</c:v>
                </c:pt>
                <c:pt idx="9">
                  <c:v>2017r.</c:v>
                </c:pt>
                <c:pt idx="10">
                  <c:v>2018r. (do 20.09.2018r.)</c:v>
                </c:pt>
              </c:strCache>
            </c:strRef>
          </c:cat>
          <c:val>
            <c:numRef>
              <c:f>'inni pracownicy'!$B$2:$L$2</c:f>
              <c:numCache>
                <c:formatCode>General</c:formatCode>
                <c:ptCount val="11"/>
                <c:pt idx="0">
                  <c:v>103</c:v>
                </c:pt>
                <c:pt idx="1">
                  <c:v>80</c:v>
                </c:pt>
                <c:pt idx="2">
                  <c:v>58</c:v>
                </c:pt>
                <c:pt idx="3">
                  <c:v>80</c:v>
                </c:pt>
                <c:pt idx="4">
                  <c:v>57</c:v>
                </c:pt>
                <c:pt idx="5">
                  <c:v>81</c:v>
                </c:pt>
                <c:pt idx="6">
                  <c:v>93</c:v>
                </c:pt>
                <c:pt idx="7">
                  <c:v>116</c:v>
                </c:pt>
                <c:pt idx="8">
                  <c:v>111</c:v>
                </c:pt>
                <c:pt idx="9">
                  <c:v>146</c:v>
                </c:pt>
                <c:pt idx="10">
                  <c:v>133</c:v>
                </c:pt>
              </c:numCache>
            </c:numRef>
          </c:val>
          <c:extLst>
            <c:ext xmlns:c16="http://schemas.microsoft.com/office/drawing/2014/chart" uri="{C3380CC4-5D6E-409C-BE32-E72D297353CC}">
              <c16:uniqueId val="{00000000-5939-4979-ACF3-028BCB97B6F9}"/>
            </c:ext>
          </c:extLst>
        </c:ser>
        <c:dLbls>
          <c:dLblPos val="inEnd"/>
          <c:showLegendKey val="0"/>
          <c:showVal val="1"/>
          <c:showCatName val="0"/>
          <c:showSerName val="0"/>
          <c:showPercent val="0"/>
          <c:showBubbleSize val="0"/>
        </c:dLbls>
        <c:gapWidth val="41"/>
        <c:axId val="383316816"/>
        <c:axId val="337784208"/>
      </c:barChart>
      <c:catAx>
        <c:axId val="383316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337784208"/>
        <c:crosses val="autoZero"/>
        <c:auto val="1"/>
        <c:lblAlgn val="ctr"/>
        <c:lblOffset val="100"/>
        <c:noMultiLvlLbl val="0"/>
      </c:catAx>
      <c:valAx>
        <c:axId val="337784208"/>
        <c:scaling>
          <c:orientation val="minMax"/>
        </c:scaling>
        <c:delete val="1"/>
        <c:axPos val="l"/>
        <c:numFmt formatCode="General" sourceLinked="1"/>
        <c:majorTickMark val="none"/>
        <c:minorTickMark val="none"/>
        <c:tickLblPos val="nextTo"/>
        <c:crossAx val="38331681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2.5000000000000001E-2"/>
          <c:y val="0.1850696267133275"/>
          <c:w val="0.93888888888888888"/>
          <c:h val="0.75474518810148727"/>
        </c:manualLayout>
      </c:layout>
      <c:ofPieChart>
        <c:ofPieType val="bar"/>
        <c:varyColors val="1"/>
        <c:ser>
          <c:idx val="0"/>
          <c:order val="0"/>
          <c:tx>
            <c:strRef>
              <c:f>Arkusz3!$A$2</c:f>
              <c:strCache>
                <c:ptCount val="1"/>
                <c:pt idx="0">
                  <c:v>asystenci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D4D-4168-91A9-0A00E5F9C26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D4D-4168-91A9-0A00E5F9C26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D4D-4168-91A9-0A00E5F9C261}"/>
              </c:ext>
            </c:extLst>
          </c:dPt>
          <c:dLbls>
            <c:dLbl>
              <c:idx val="0"/>
              <c:layout>
                <c:manualLayout>
                  <c:x val="0.1577143482064742"/>
                  <c:y val="-3.096274424030329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8D4D-4168-91A9-0A00E5F9C261}"/>
                </c:ext>
              </c:extLst>
            </c:dLbl>
            <c:dLbl>
              <c:idx val="1"/>
              <c:layout>
                <c:manualLayout>
                  <c:x val="-0.15833333333333344"/>
                  <c:y val="-8.707093904928550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D4D-4168-91A9-0A00E5F9C261}"/>
                </c:ext>
              </c:extLst>
            </c:dLbl>
            <c:dLbl>
              <c:idx val="2"/>
              <c:delete val="1"/>
              <c:extLst>
                <c:ext xmlns:c15="http://schemas.microsoft.com/office/drawing/2012/chart" uri="{CE6537A1-D6FC-4f65-9D91-7224C49458BB}"/>
                <c:ext xmlns:c16="http://schemas.microsoft.com/office/drawing/2014/chart" uri="{C3380CC4-5D6E-409C-BE32-E72D297353CC}">
                  <c16:uniqueId val="{00000005-8D4D-4168-91A9-0A00E5F9C26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(Arkusz3!$B$1,Arkusz3!$C$1)</c:f>
              <c:strCache>
                <c:ptCount val="2"/>
                <c:pt idx="0">
                  <c:v>stan na 31.12.2017r.</c:v>
                </c:pt>
                <c:pt idx="1">
                  <c:v>odejście w 2017r. </c:v>
                </c:pt>
              </c:strCache>
            </c:strRef>
          </c:cat>
          <c:val>
            <c:numRef>
              <c:f>(Arkusz3!$B$2,Arkusz3!$C$2)</c:f>
              <c:numCache>
                <c:formatCode>General</c:formatCode>
                <c:ptCount val="2"/>
                <c:pt idx="0">
                  <c:v>580</c:v>
                </c:pt>
                <c:pt idx="1">
                  <c:v>59</c:v>
                </c:pt>
              </c:numCache>
            </c:numRef>
          </c:val>
          <c:extLst>
            <c:ext xmlns:c16="http://schemas.microsoft.com/office/drawing/2014/chart" uri="{C3380CC4-5D6E-409C-BE32-E72D297353CC}">
              <c16:uniqueId val="{00000006-8D4D-4168-91A9-0A00E5F9C261}"/>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asystenci</a:t>
            </a:r>
          </a:p>
        </c:rich>
      </c:tx>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8.0555555555555561E-2"/>
          <c:y val="0.18055555555555552"/>
          <c:w val="0.77222222222222225"/>
          <c:h val="0.7407407407407407"/>
        </c:manualLayout>
      </c:layout>
      <c:ofPieChart>
        <c:ofPieType val="bar"/>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C0-4C54-BA45-575289C0D84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C0-4C54-BA45-575289C0D84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C0-4C54-BA45-575289C0D84C}"/>
              </c:ext>
            </c:extLst>
          </c:dPt>
          <c:dLbls>
            <c:dLbl>
              <c:idx val="2"/>
              <c:delete val="1"/>
              <c:extLst>
                <c:ext xmlns:c15="http://schemas.microsoft.com/office/drawing/2012/chart" uri="{CE6537A1-D6FC-4f65-9D91-7224C49458BB}"/>
                <c:ext xmlns:c16="http://schemas.microsoft.com/office/drawing/2014/chart" uri="{C3380CC4-5D6E-409C-BE32-E72D297353CC}">
                  <c16:uniqueId val="{00000005-72C0-4C54-BA45-575289C0D84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(Arkusz3!$E$1,Arkusz3!$F$1)</c:f>
              <c:strCache>
                <c:ptCount val="2"/>
                <c:pt idx="0">
                  <c:v>stan na 31.06.2018r.</c:v>
                </c:pt>
                <c:pt idx="1">
                  <c:v>odejście w 2018r. (do 20.09.2018r.)</c:v>
                </c:pt>
              </c:strCache>
            </c:strRef>
          </c:cat>
          <c:val>
            <c:numRef>
              <c:f>(Arkusz3!$E$2,Arkusz3!$F$2)</c:f>
              <c:numCache>
                <c:formatCode>General</c:formatCode>
                <c:ptCount val="2"/>
                <c:pt idx="0">
                  <c:v>695</c:v>
                </c:pt>
                <c:pt idx="1">
                  <c:v>67</c:v>
                </c:pt>
              </c:numCache>
            </c:numRef>
          </c:val>
          <c:extLst>
            <c:ext xmlns:c16="http://schemas.microsoft.com/office/drawing/2014/chart" uri="{C3380CC4-5D6E-409C-BE32-E72D297353CC}">
              <c16:uniqueId val="{00000006-72C0-4C54-BA45-575289C0D84C}"/>
            </c:ext>
          </c:extLst>
        </c:ser>
        <c:dLbls>
          <c:dLblPos val="ctr"/>
          <c:showLegendKey val="0"/>
          <c:showVal val="0"/>
          <c:showCatName val="0"/>
          <c:showSerName val="0"/>
          <c:showPercent val="0"/>
          <c:showBubbleSize val="0"/>
          <c:showLeaderLines val="0"/>
        </c:dLbls>
        <c:gapWidth val="100"/>
        <c:secondPieSize val="75"/>
        <c:serLines>
          <c:spPr>
            <a:ln w="9525">
              <a:solidFill>
                <a:schemeClr val="dk1">
                  <a:lumMod val="50000"/>
                  <a:lumOff val="50000"/>
                </a:schemeClr>
              </a:solidFill>
              <a:round/>
            </a:ln>
            <a:effectLst/>
          </c:spPr>
        </c:serLines>
      </c:of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5">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spPr>
      <a:ln w="9525" cap="flat" cmpd="sng" algn="ctr">
        <a:solidFill>
          <a:schemeClr val="dk1">
            <a:lumMod val="50000"/>
            <a:lumOff val="50000"/>
          </a:schemeClr>
        </a:solidFill>
        <a:round/>
      </a:ln>
    </cs:spPr>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9525" cap="flat" cmpd="sng" algn="ctr">
        <a:solidFill>
          <a:schemeClr val="dk1">
            <a:lumMod val="50000"/>
            <a:lumOff val="50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Roszak</dc:creator>
  <cp:keywords/>
  <dc:description/>
  <cp:lastModifiedBy>Skała Jacek (PR)</cp:lastModifiedBy>
  <cp:revision>2</cp:revision>
  <cp:lastPrinted>2018-10-12T07:30:00Z</cp:lastPrinted>
  <dcterms:created xsi:type="dcterms:W3CDTF">2018-10-17T10:20:00Z</dcterms:created>
  <dcterms:modified xsi:type="dcterms:W3CDTF">2018-10-17T10:20:00Z</dcterms:modified>
</cp:coreProperties>
</file>